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60" w:lineRule="auto"/>
        <w:rPr>
          <w:rFonts w:hint="eastAsia"/>
        </w:rPr>
      </w:pPr>
      <w:r>
        <w:rPr>
          <w:rFonts w:hint="eastAsia"/>
        </w:rPr>
        <w:t>公司网站建设方案</w:t>
      </w:r>
    </w:p>
    <w:p>
      <w:pPr>
        <w:rPr>
          <w:rFonts w:hint="eastAsia"/>
        </w:rPr>
      </w:pPr>
      <w:r>
        <w:rPr>
          <w:rFonts w:hint="eastAsia"/>
          <w:b/>
          <w:bCs/>
        </w:rPr>
        <w:t>１．公司网址</w:t>
      </w:r>
      <w:r>
        <w:rPr>
          <w:rFonts w:hint="eastAsia"/>
        </w:rPr>
        <w:t>：</w:t>
      </w:r>
      <w:r>
        <w:fldChar w:fldCharType="begin"/>
      </w:r>
      <w:r>
        <w:instrText xml:space="preserve"> HYPERLINK </w:instrText>
      </w:r>
      <w:r>
        <w:fldChar w:fldCharType="separate"/>
      </w:r>
      <w:r>
        <w:fldChar w:fldCharType="end"/>
      </w:r>
      <w:r>
        <w:rPr>
          <w:rFonts w:hint="eastAsia"/>
        </w:rPr>
        <w:t>.cn</w:t>
      </w:r>
    </w:p>
    <w:p>
      <w:pPr>
        <w:rPr>
          <w:rFonts w:hint="eastAsia"/>
          <w:b/>
          <w:bCs/>
        </w:rPr>
      </w:pPr>
      <w:r>
        <w:rPr>
          <w:rFonts w:hint="eastAsia"/>
          <w:b/>
          <w:bCs/>
        </w:rPr>
        <w:t>2、栏目：首页、公司简介、新闻中心、产品中心、解决方案、人才招聘、联系我们</w:t>
      </w:r>
    </w:p>
    <w:p>
      <w:pPr>
        <w:kinsoku/>
        <w:autoSpaceDE/>
        <w:autoSpaceDN w:val="0"/>
        <w:spacing w:before="225" w:beforeLines="0" w:after="225" w:afterLines="0" w:line="375" w:lineRule="atLeast"/>
        <w:rPr>
          <w:rFonts w:hint="eastAsia" w:ascii="Arial"/>
          <w:snapToGrid/>
          <w:color w:val="666666"/>
          <w:sz w:val="18"/>
        </w:rPr>
      </w:pPr>
      <w:r>
        <w:rPr>
          <w:rFonts w:hint="eastAsia" w:ascii="Arial"/>
          <w:snapToGrid/>
          <w:color w:val="666666"/>
          <w:sz w:val="18"/>
        </w:rPr>
        <w:t>２．首页模块名细</w:t>
      </w:r>
    </w:p>
    <w:p>
      <w:pPr>
        <w:kinsoku/>
        <w:autoSpaceDE/>
        <w:autoSpaceDN w:val="0"/>
        <w:spacing w:before="225" w:beforeLines="0" w:after="225" w:afterLines="0" w:line="375" w:lineRule="atLeast"/>
        <w:rPr>
          <w:rFonts w:hint="eastAsia" w:ascii="Arial"/>
          <w:snapToGrid/>
          <w:color w:val="666666"/>
          <w:sz w:val="18"/>
        </w:rPr>
      </w:pPr>
      <w:r>
        <w:rPr>
          <w:rFonts w:hint="eastAsia" w:ascii="Arial"/>
          <w:snapToGrid/>
          <w:color w:val="666666"/>
          <w:sz w:val="18"/>
        </w:rPr>
        <w:t>Ａ：整体首页：3-5副图片轮流循环变换，可后台更换图片，图片的说明及图片的相应连接</w:t>
      </w:r>
    </w:p>
    <w:p>
      <w:pPr>
        <w:kinsoku/>
        <w:autoSpaceDE/>
        <w:autoSpaceDN w:val="0"/>
        <w:spacing w:before="225" w:beforeLines="0" w:after="225" w:afterLines="0" w:line="375" w:lineRule="atLeast"/>
        <w:rPr>
          <w:rFonts w:hint="eastAsia" w:ascii="Arial"/>
          <w:snapToGrid/>
          <w:color w:val="666666"/>
          <w:sz w:val="18"/>
        </w:rPr>
      </w:pPr>
      <w:r>
        <w:rPr>
          <w:rFonts w:hint="eastAsia" w:ascii="Arial"/>
          <w:snapToGrid/>
          <w:color w:val="666666"/>
          <w:sz w:val="18"/>
        </w:rPr>
        <w:t>效果如下：</w:t>
      </w:r>
    </w:p>
    <w:p>
      <w:pPr>
        <w:kinsoku/>
        <w:autoSpaceDE/>
        <w:autoSpaceDN w:val="0"/>
        <w:spacing w:before="225" w:beforeLines="0" w:after="225" w:afterLines="0" w:line="375" w:lineRule="atLeast"/>
        <w:rPr>
          <w:rFonts w:hint="eastAsia" w:ascii="Arial"/>
          <w:snapToGrid/>
          <w:color w:val="666666"/>
          <w:sz w:val="18"/>
        </w:rPr>
      </w:pPr>
      <w:r>
        <w:rPr>
          <w:rFonts w:hint="eastAsia" w:ascii="Arial"/>
          <w:snapToGrid/>
          <w:color w:val="666666"/>
          <w:sz w:val="18"/>
        </w:rPr>
        <w:t>Ｂ：关于易道：内容如下</w:t>
      </w:r>
    </w:p>
    <w:p>
      <w:pPr>
        <w:kinsoku/>
        <w:autoSpaceDE/>
        <w:autoSpaceDN w:val="0"/>
        <w:spacing w:before="225" w:beforeLines="0" w:after="225" w:afterLines="0" w:line="375" w:lineRule="atLeast"/>
        <w:rPr>
          <w:rFonts w:hint="eastAsia" w:ascii="Arial"/>
          <w:snapToGrid/>
          <w:color w:val="666666"/>
          <w:sz w:val="18"/>
        </w:rPr>
      </w:pPr>
      <w:r>
        <w:rPr>
          <w:rFonts w:hint="eastAsia" w:ascii="Arial"/>
          <w:snapToGrid/>
          <w:color w:val="666666"/>
          <w:sz w:val="18"/>
        </w:rPr>
        <w:t>　１．公司介绍：惠州市易道科技有限公司是专业从事计算机软件开发、物联网、电子商务服务的高科技公司，公司核心业务为知识管理软件和RFID应用系统的研发与服务，是惠州市行政事业单位政府采购协议供货单位</w:t>
      </w:r>
    </w:p>
    <w:p>
      <w:pPr>
        <w:kinsoku/>
        <w:autoSpaceDE/>
        <w:autoSpaceDN w:val="0"/>
        <w:spacing w:before="225" w:beforeLines="0" w:after="225" w:afterLines="0" w:line="375" w:lineRule="atLeast"/>
        <w:rPr>
          <w:rFonts w:hint="eastAsia" w:ascii="Arial"/>
          <w:snapToGrid/>
          <w:color w:val="666666"/>
          <w:sz w:val="18"/>
        </w:rPr>
      </w:pPr>
      <w:r>
        <w:rPr>
          <w:rFonts w:hint="eastAsia" w:ascii="Arial"/>
          <w:snapToGrid/>
          <w:color w:val="666666"/>
          <w:sz w:val="18"/>
        </w:rPr>
        <w:t>公司核心骨干在政府、企业信息化方面拥有近20年的丰富经验，曾服务于政府机关、大型企业集团和民营IT企业，主持了众多党政机关、企业的信息化项目咨询规划、开发实施和运营维护，是“惠州市信息化专家委员会成员”、“惠城区信息化专家组成员”。</w:t>
      </w:r>
      <w:r>
        <w:rPr>
          <w:rFonts w:hint="eastAsia" w:ascii="Arial"/>
          <w:snapToGrid/>
          <w:color w:val="666666"/>
          <w:sz w:val="18"/>
        </w:rPr>
        <w:cr/>
      </w:r>
      <w:r>
        <w:rPr>
          <w:rFonts w:hint="eastAsia" w:ascii="Arial"/>
          <w:snapToGrid/>
          <w:color w:val="666666"/>
          <w:sz w:val="18"/>
        </w:rPr>
        <w:t>秉着“科技，让大道至简”的宗旨，易道科技定位于一个以软件开发和系统集成为主的专业IT公司，与业界著名厂商、高等院校、科研院所深度合作，为政府、企业提供信息化咨询、规划、开发、实施、维护、培训等信息化全程服务，帮助客户高效运用信息技术，不断简化管理，不断提升组织竞争力，领跑信息时代。</w:t>
      </w:r>
      <w:r>
        <w:rPr>
          <w:rFonts w:hint="eastAsia" w:ascii="Arial"/>
          <w:snapToGrid/>
          <w:color w:val="666666"/>
          <w:sz w:val="18"/>
        </w:rPr>
        <w:cr/>
      </w:r>
      <w:r>
        <w:rPr>
          <w:rFonts w:hint="eastAsia" w:ascii="Arial"/>
          <w:snapToGrid/>
          <w:color w:val="666666"/>
          <w:sz w:val="18"/>
        </w:rPr>
        <w:t>　　</w:t>
      </w:r>
    </w:p>
    <w:p>
      <w:pPr>
        <w:kinsoku/>
        <w:autoSpaceDE/>
        <w:autoSpaceDN w:val="0"/>
        <w:spacing w:before="225" w:beforeLines="0" w:after="225" w:afterLines="0" w:line="375" w:lineRule="atLeast"/>
        <w:rPr>
          <w:rFonts w:hint="eastAsia" w:ascii="Arial"/>
          <w:snapToGrid/>
          <w:color w:val="666666"/>
          <w:sz w:val="18"/>
        </w:rPr>
      </w:pPr>
      <w:r>
        <w:rPr>
          <w:rFonts w:hint="eastAsia" w:ascii="Arial"/>
          <w:snapToGrid/>
          <w:color w:val="666666"/>
          <w:sz w:val="18"/>
        </w:rPr>
        <w:t>企业文化</w:t>
      </w:r>
      <w:r>
        <w:rPr>
          <w:rFonts w:hint="eastAsia" w:ascii="Arial"/>
          <w:snapToGrid/>
          <w:color w:val="666666"/>
          <w:sz w:val="18"/>
        </w:rPr>
        <w:cr/>
      </w:r>
      <w:r>
        <w:rPr>
          <w:rFonts w:hint="eastAsia" w:ascii="Arial"/>
          <w:snapToGrid/>
          <w:color w:val="666666"/>
          <w:sz w:val="18"/>
        </w:rPr>
        <w:cr/>
      </w:r>
      <w:r>
        <w:rPr>
          <w:rFonts w:hint="eastAsia" w:ascii="Arial"/>
          <w:snapToGrid/>
          <w:color w:val="666666"/>
          <w:sz w:val="18"/>
        </w:rPr>
        <w:t>企业愿景：</w:t>
      </w:r>
      <w:r>
        <w:rPr>
          <w:rFonts w:hint="eastAsia" w:ascii="Arial"/>
          <w:snapToGrid/>
          <w:color w:val="666666"/>
          <w:sz w:val="18"/>
        </w:rPr>
        <w:cr/>
      </w:r>
      <w:r>
        <w:rPr>
          <w:rFonts w:hint="eastAsia" w:ascii="Arial"/>
          <w:snapToGrid/>
          <w:color w:val="666666"/>
          <w:sz w:val="18"/>
        </w:rPr>
        <w:t>成为卓越的协同与知识管理专家、RFID应用专家。</w:t>
      </w:r>
      <w:r>
        <w:rPr>
          <w:rFonts w:hint="eastAsia" w:ascii="Arial"/>
          <w:snapToGrid/>
          <w:color w:val="666666"/>
          <w:sz w:val="18"/>
        </w:rPr>
        <w:cr/>
      </w:r>
      <w:r>
        <w:rPr>
          <w:rFonts w:hint="eastAsia" w:ascii="Arial"/>
          <w:snapToGrid/>
          <w:color w:val="666666"/>
          <w:sz w:val="18"/>
        </w:rPr>
        <w:cr/>
      </w:r>
      <w:r>
        <w:rPr>
          <w:rFonts w:hint="eastAsia" w:ascii="Arial"/>
          <w:snapToGrid/>
          <w:color w:val="666666"/>
          <w:sz w:val="18"/>
        </w:rPr>
        <w:t>公司使命：</w:t>
      </w:r>
      <w:r>
        <w:rPr>
          <w:rFonts w:hint="eastAsia" w:ascii="Arial"/>
          <w:snapToGrid/>
          <w:color w:val="666666"/>
          <w:sz w:val="18"/>
        </w:rPr>
        <w:cr/>
      </w:r>
      <w:r>
        <w:rPr>
          <w:rFonts w:hint="eastAsia" w:ascii="Arial"/>
          <w:snapToGrid/>
          <w:color w:val="666666"/>
          <w:sz w:val="18"/>
        </w:rPr>
        <w:t>以领先的“咨询+IT”服务模式，让大道至简，帮助客户不断成功！</w:t>
      </w:r>
      <w:r>
        <w:rPr>
          <w:rFonts w:hint="eastAsia" w:ascii="Arial"/>
          <w:snapToGrid/>
          <w:color w:val="666666"/>
          <w:sz w:val="18"/>
        </w:rPr>
        <w:cr/>
      </w:r>
      <w:r>
        <w:rPr>
          <w:rFonts w:hint="eastAsia" w:ascii="Arial"/>
          <w:snapToGrid/>
          <w:color w:val="666666"/>
          <w:sz w:val="18"/>
        </w:rPr>
        <w:cr/>
      </w:r>
      <w:r>
        <w:rPr>
          <w:rFonts w:hint="eastAsia" w:ascii="Arial"/>
          <w:snapToGrid/>
          <w:color w:val="666666"/>
          <w:sz w:val="18"/>
        </w:rPr>
        <w:t>企业精神：</w:t>
      </w:r>
      <w:r>
        <w:rPr>
          <w:rFonts w:hint="eastAsia" w:ascii="Arial"/>
          <w:snapToGrid/>
          <w:color w:val="666666"/>
          <w:sz w:val="18"/>
        </w:rPr>
        <w:cr/>
      </w:r>
      <w:r>
        <w:rPr>
          <w:rFonts w:hint="eastAsia" w:ascii="Arial"/>
          <w:snapToGrid/>
          <w:color w:val="666666"/>
          <w:sz w:val="18"/>
        </w:rPr>
        <w:t>诚信、责任、团队、创新</w:t>
      </w:r>
      <w:r>
        <w:rPr>
          <w:rFonts w:hint="eastAsia" w:ascii="Arial"/>
          <w:snapToGrid/>
          <w:color w:val="666666"/>
          <w:sz w:val="18"/>
        </w:rPr>
        <w:cr/>
      </w:r>
      <w:r>
        <w:rPr>
          <w:rFonts w:hint="eastAsia" w:ascii="Arial"/>
          <w:snapToGrid/>
          <w:color w:val="666666"/>
          <w:sz w:val="18"/>
        </w:rPr>
        <w:cr/>
      </w:r>
      <w:r>
        <w:rPr>
          <w:rFonts w:hint="eastAsia" w:ascii="Arial"/>
          <w:snapToGrid/>
          <w:color w:val="666666"/>
          <w:sz w:val="18"/>
        </w:rPr>
        <w:t>核心价值观：</w:t>
      </w:r>
      <w:r>
        <w:rPr>
          <w:rFonts w:hint="eastAsia" w:ascii="Arial"/>
          <w:snapToGrid/>
          <w:color w:val="666666"/>
          <w:sz w:val="18"/>
        </w:rPr>
        <w:cr/>
      </w:r>
      <w:r>
        <w:rPr>
          <w:rFonts w:hint="eastAsia" w:ascii="Arial"/>
          <w:snapToGrid/>
          <w:color w:val="666666"/>
          <w:sz w:val="18"/>
        </w:rPr>
        <w:t>以善为本，勤诚专恒，大道至简</w:t>
      </w:r>
    </w:p>
    <w:p>
      <w:pPr>
        <w:tabs>
          <w:tab w:val="left" w:pos="3433"/>
        </w:tabs>
        <w:jc w:val="left"/>
        <w:rPr>
          <w:rFonts w:hint="eastAsia"/>
        </w:rPr>
      </w:pPr>
      <w:r>
        <w:rPr>
          <w:rFonts w:hint="eastAsia"/>
          <w:b/>
          <w:bCs/>
        </w:rPr>
        <w:t>３.产品中心</w:t>
      </w:r>
      <w:r>
        <w:rPr>
          <w:rFonts w:hint="eastAsia"/>
        </w:rPr>
        <w:t>：</w:t>
      </w:r>
      <w:r>
        <w:rPr>
          <w:rFonts w:hint="eastAsia"/>
          <w:lang w:eastAsia="zh-CN"/>
        </w:rPr>
        <w:t>分三大类</w:t>
      </w:r>
      <w:r>
        <w:rPr>
          <w:rFonts w:hint="eastAsia"/>
          <w:lang w:val="en-US" w:eastAsia="zh-CN"/>
        </w:rPr>
        <w:t>1.</w:t>
      </w:r>
      <w:r>
        <w:rPr>
          <w:rFonts w:hint="eastAsia"/>
        </w:rPr>
        <w:t>蓝凌软件　　</w:t>
      </w:r>
      <w:r>
        <w:rPr>
          <w:rFonts w:hint="eastAsia"/>
          <w:lang w:val="en-US" w:eastAsia="zh-CN"/>
        </w:rPr>
        <w:t>2．</w:t>
      </w:r>
      <w:r>
        <w:t>RFID</w:t>
      </w:r>
      <w:r>
        <w:rPr>
          <w:rFonts w:hint="eastAsia"/>
          <w:lang w:val="en-US" w:eastAsia="zh-CN"/>
        </w:rPr>
        <w:t xml:space="preserve"> 应用   3.</w:t>
      </w:r>
      <w:r>
        <w:rPr>
          <w:rFonts w:hint="eastAsia"/>
          <w:bCs/>
          <w:color w:val="000000"/>
          <w:szCs w:val="21"/>
        </w:rPr>
        <w:t>ＩＰ－guard</w:t>
      </w:r>
      <w:r>
        <w:rPr>
          <w:rFonts w:hint="eastAsia"/>
        </w:rPr>
        <w:t>　</w:t>
      </w:r>
    </w:p>
    <w:p>
      <w:pPr>
        <w:tabs>
          <w:tab w:val="left" w:pos="3780"/>
        </w:tabs>
        <w:rPr>
          <w:rFonts w:hint="eastAsia"/>
          <w:lang w:eastAsia="zh-CN"/>
        </w:rPr>
      </w:pPr>
      <w:r>
        <w:rPr>
          <w:rFonts w:hint="eastAsia"/>
        </w:rPr>
        <w:t>　</w:t>
      </w:r>
      <w:r>
        <w:rPr>
          <w:rFonts w:hint="eastAsia"/>
          <w:lang w:eastAsia="zh-CN"/>
        </w:rPr>
        <w:t>具体明细内容：</w:t>
      </w:r>
    </w:p>
    <w:p>
      <w:pPr>
        <w:tabs>
          <w:tab w:val="left" w:pos="3780"/>
        </w:tabs>
        <w:rPr>
          <w:rFonts w:hint="eastAsia"/>
        </w:rPr>
      </w:pPr>
      <w:r>
        <w:rPr>
          <w:rFonts w:hint="eastAsia"/>
          <w:lang w:eastAsia="zh-CN"/>
        </w:rPr>
        <w:t>　蓝凌ＥＩＳ：</w:t>
      </w:r>
      <w:r>
        <w:rPr>
          <w:rFonts w:hint="eastAsia"/>
        </w:rPr>
        <w:t>　</w:t>
      </w:r>
      <w:r>
        <w:rPr>
          <w:rFonts w:hint="default"/>
          <w:sz w:val="21"/>
        </w:rPr>
        <w:pict>
          <v:shape id="_x0000_i1025" o:spt="75" type="#_x0000_t75" style="height:21.75pt;width:63.75pt;" filled="f" o:preferrelative="t" stroked="f" coordsize="21600,21600">
            <v:path/>
            <v:fill on="f" focussize="0,0"/>
            <v:stroke on="f"/>
            <v:imagedata r:id="rId4" r:href="rId5" o:title=""/>
            <o:lock v:ext="edit" aspectratio="t"/>
            <w10:wrap type="none"/>
            <w10:anchorlock/>
          </v:shape>
        </w:pict>
      </w:r>
      <w:r>
        <w:rPr>
          <w:rFonts w:hint="default" w:ascii="Arial"/>
          <w:b/>
          <w:snapToGrid/>
          <w:color w:val="FD931D"/>
          <w:sz w:val="21"/>
        </w:rPr>
        <w:t>企业管理利器，成长型组织的协同工作平台</w:t>
      </w:r>
      <w:r>
        <w:rPr>
          <w:rFonts w:hint="eastAsia"/>
        </w:rPr>
        <w:t>　</w:t>
      </w:r>
    </w:p>
    <w:p>
      <w:pPr>
        <w:pBdr>
          <w:top w:val="single" w:color="CCCCCC" w:sz="6" w:space="0"/>
          <w:bottom w:val="single" w:color="CCCCCC" w:sz="6" w:space="0"/>
        </w:pBdr>
        <w:kinsoku/>
        <w:autoSpaceDE/>
        <w:autoSpaceDN w:val="0"/>
        <w:spacing w:line="450" w:lineRule="atLeast"/>
        <w:rPr>
          <w:rFonts w:hint="default" w:ascii="Arial"/>
          <w:b/>
          <w:snapToGrid/>
          <w:color w:val="00A0E8"/>
          <w:sz w:val="21"/>
        </w:rPr>
      </w:pPr>
      <w:r>
        <w:rPr>
          <w:rFonts w:hint="eastAsia"/>
        </w:rPr>
        <w:t>　　　　</w:t>
      </w:r>
      <w:r>
        <w:rPr>
          <w:rFonts w:hint="default" w:ascii="Arial"/>
          <w:b/>
          <w:snapToGrid/>
          <w:color w:val="00A0E8"/>
          <w:sz w:val="21"/>
        </w:rPr>
        <w:t>关于EIS</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在我们的企业中，是否也经常面临下述情况：</w:t>
      </w:r>
    </w:p>
    <w:p>
      <w:pPr>
        <w:numPr>
          <w:ilvl w:val="0"/>
          <w:numId w:val="1"/>
        </w:numPr>
        <w:kinsoku/>
        <w:autoSpaceDE/>
        <w:autoSpaceDN w:val="0"/>
        <w:spacing w:line="375" w:lineRule="atLeast"/>
        <w:ind w:left="360" w:firstLine="0"/>
        <w:rPr>
          <w:rFonts w:hint="default" w:ascii="Arial"/>
          <w:snapToGrid/>
          <w:color w:val="666666"/>
          <w:sz w:val="18"/>
        </w:rPr>
      </w:pPr>
      <w:r>
        <w:rPr>
          <w:rFonts w:hint="default" w:ascii="Arial"/>
          <w:snapToGrid/>
          <w:color w:val="666666"/>
          <w:sz w:val="18"/>
        </w:rPr>
        <w:t>新员工不能快速融入企业，工作职责不明确，岗位知识不能快速复制？</w:t>
      </w:r>
    </w:p>
    <w:p>
      <w:pPr>
        <w:numPr>
          <w:ilvl w:val="0"/>
          <w:numId w:val="1"/>
        </w:numPr>
        <w:kinsoku/>
        <w:autoSpaceDE/>
        <w:autoSpaceDN w:val="0"/>
        <w:spacing w:line="375" w:lineRule="atLeast"/>
        <w:ind w:left="360" w:firstLine="0"/>
        <w:rPr>
          <w:rFonts w:hint="default" w:ascii="Arial"/>
          <w:snapToGrid/>
          <w:color w:val="666666"/>
          <w:sz w:val="18"/>
        </w:rPr>
      </w:pPr>
      <w:r>
        <w:rPr>
          <w:rFonts w:hint="default" w:ascii="Arial"/>
          <w:snapToGrid/>
          <w:color w:val="666666"/>
          <w:sz w:val="18"/>
        </w:rPr>
        <w:t>传统手工审批方式效率低，不能实时与制度关联，签阅后的文件不易查找统计？</w:t>
      </w:r>
    </w:p>
    <w:p>
      <w:pPr>
        <w:numPr>
          <w:ilvl w:val="0"/>
          <w:numId w:val="1"/>
        </w:numPr>
        <w:kinsoku/>
        <w:autoSpaceDE/>
        <w:autoSpaceDN w:val="0"/>
        <w:spacing w:line="375" w:lineRule="atLeast"/>
        <w:ind w:left="360" w:firstLine="0"/>
        <w:rPr>
          <w:rFonts w:hint="default" w:ascii="Arial"/>
          <w:snapToGrid/>
          <w:color w:val="666666"/>
          <w:sz w:val="18"/>
        </w:rPr>
      </w:pPr>
      <w:r>
        <w:rPr>
          <w:rFonts w:hint="default" w:ascii="Arial"/>
          <w:snapToGrid/>
          <w:color w:val="666666"/>
          <w:sz w:val="18"/>
        </w:rPr>
        <w:t>信息发布途径不统一，员工不能及时获取最新信息，且无法跟踪信息的接收情况？</w:t>
      </w:r>
    </w:p>
    <w:p>
      <w:pPr>
        <w:numPr>
          <w:ilvl w:val="0"/>
          <w:numId w:val="1"/>
        </w:numPr>
        <w:kinsoku/>
        <w:autoSpaceDE/>
        <w:autoSpaceDN w:val="0"/>
        <w:spacing w:line="375" w:lineRule="atLeast"/>
        <w:ind w:left="360" w:firstLine="0"/>
        <w:rPr>
          <w:rFonts w:hint="default" w:ascii="Arial"/>
          <w:snapToGrid/>
          <w:color w:val="666666"/>
          <w:sz w:val="18"/>
        </w:rPr>
      </w:pPr>
      <w:r>
        <w:rPr>
          <w:rFonts w:hint="default" w:ascii="Arial"/>
          <w:snapToGrid/>
          <w:color w:val="666666"/>
          <w:sz w:val="18"/>
        </w:rPr>
        <w:t>办公室文件纸张满天飞，资料柜爆满，如何存储、流转、检索并利用这些信息？</w:t>
      </w:r>
    </w:p>
    <w:p>
      <w:pPr>
        <w:numPr>
          <w:ilvl w:val="0"/>
          <w:numId w:val="1"/>
        </w:numPr>
        <w:kinsoku/>
        <w:autoSpaceDE/>
        <w:autoSpaceDN w:val="0"/>
        <w:spacing w:line="375" w:lineRule="atLeast"/>
        <w:ind w:left="360" w:firstLine="0"/>
        <w:rPr>
          <w:rFonts w:hint="default" w:ascii="Arial"/>
          <w:snapToGrid/>
          <w:color w:val="666666"/>
          <w:sz w:val="18"/>
        </w:rPr>
      </w:pPr>
      <w:r>
        <w:rPr>
          <w:rFonts w:hint="default" w:ascii="Arial"/>
          <w:snapToGrid/>
          <w:color w:val="666666"/>
          <w:sz w:val="18"/>
        </w:rPr>
        <w:t>组织文化建设匮乏，如何引导员工的积极参与提高员工集体荣誉感，增强组织凝聚力？</w:t>
      </w:r>
    </w:p>
    <w:p>
      <w:pPr>
        <w:numPr>
          <w:ilvl w:val="0"/>
          <w:numId w:val="1"/>
        </w:numPr>
        <w:kinsoku/>
        <w:autoSpaceDE/>
        <w:autoSpaceDN w:val="0"/>
        <w:spacing w:line="375" w:lineRule="atLeast"/>
        <w:ind w:left="360" w:firstLine="0"/>
        <w:rPr>
          <w:rFonts w:hint="default" w:ascii="Arial"/>
          <w:snapToGrid/>
          <w:color w:val="666666"/>
          <w:sz w:val="18"/>
        </w:rPr>
      </w:pPr>
      <w:r>
        <w:rPr>
          <w:rFonts w:hint="default" w:ascii="Arial"/>
          <w:snapToGrid/>
          <w:color w:val="666666"/>
          <w:sz w:val="18"/>
        </w:rPr>
        <w:t>临时有一些小型IT需求，希望可速配置出来，而不需要再行采购或定制开发？</w:t>
      </w:r>
    </w:p>
    <w:p>
      <w:pPr>
        <w:numPr>
          <w:ilvl w:val="0"/>
          <w:numId w:val="1"/>
        </w:numPr>
        <w:kinsoku/>
        <w:autoSpaceDE/>
        <w:autoSpaceDN w:val="0"/>
        <w:spacing w:line="375" w:lineRule="atLeast"/>
        <w:ind w:left="360" w:firstLine="0"/>
        <w:rPr>
          <w:rFonts w:hint="default" w:ascii="Arial"/>
          <w:snapToGrid/>
          <w:color w:val="666666"/>
          <w:sz w:val="18"/>
        </w:rPr>
      </w:pPr>
      <w:r>
        <w:rPr>
          <w:rFonts w:hint="default" w:ascii="Arial"/>
          <w:snapToGrid/>
          <w:color w:val="666666"/>
          <w:sz w:val="18"/>
        </w:rPr>
        <w:t>希望购买不仅仅是一个IT系统，更重要的是希望引进先进管理思想和方法？</w:t>
      </w:r>
    </w:p>
    <w:p>
      <w:pPr>
        <w:numPr>
          <w:ilvl w:val="0"/>
          <w:numId w:val="1"/>
        </w:numPr>
        <w:kinsoku/>
        <w:autoSpaceDE/>
        <w:autoSpaceDN w:val="0"/>
        <w:spacing w:line="375" w:lineRule="atLeast"/>
        <w:ind w:left="360" w:firstLine="0"/>
        <w:rPr>
          <w:rFonts w:hint="default" w:ascii="Arial"/>
          <w:snapToGrid/>
          <w:color w:val="666666"/>
          <w:sz w:val="18"/>
        </w:rPr>
      </w:pPr>
      <w:r>
        <w:rPr>
          <w:rFonts w:hint="default" w:ascii="Arial"/>
          <w:snapToGrid/>
          <w:color w:val="666666"/>
          <w:sz w:val="18"/>
        </w:rPr>
        <w:t>……</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在知识经济时代和日益动荡的市场竞争环境下，企业不仅需要依靠降低营运的成本和提高响应速度以确保在激烈的竞争环境下站稳脚跟，更需要不断地获取知识、提升创新能力和深化协同工作以获取成功。实施知识管理早已成为企业培育核心竞争能力、赢得市场竞争的关键所在！</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蓝凌智慧协同平台EIS秉承“</w:t>
      </w:r>
      <w:r>
        <w:rPr>
          <w:rFonts w:hint="default" w:ascii="Arial"/>
          <w:b/>
          <w:snapToGrid/>
          <w:color w:val="666666"/>
          <w:sz w:val="18"/>
        </w:rPr>
        <w:t>让工作更智慧</w:t>
      </w:r>
      <w:r>
        <w:rPr>
          <w:rFonts w:hint="default" w:ascii="Arial"/>
          <w:snapToGrid/>
          <w:color w:val="666666"/>
          <w:sz w:val="18"/>
        </w:rPr>
        <w:t>”理念，以</w:t>
      </w:r>
      <w:r>
        <w:rPr>
          <w:rFonts w:hint="default" w:ascii="Arial"/>
          <w:b/>
          <w:snapToGrid/>
          <w:color w:val="666666"/>
          <w:sz w:val="18"/>
        </w:rPr>
        <w:t>可配置、可传承、可集成</w:t>
      </w:r>
      <w:r>
        <w:rPr>
          <w:rFonts w:hint="default" w:ascii="Arial"/>
          <w:snapToGrid/>
          <w:color w:val="666666"/>
          <w:sz w:val="18"/>
        </w:rPr>
        <w:t>为设计思想。协同多人、多组织完成管理事务，提高组织响应速度，使企业资源融会贯通、吐故纳新，始终生机勃勃以崭新的形象应对多变的外界环境。</w:t>
      </w:r>
    </w:p>
    <w:p>
      <w:pPr>
        <w:pBdr>
          <w:top w:val="single" w:color="CCCCCC" w:sz="6" w:space="0"/>
          <w:bottom w:val="single" w:color="CCCCCC" w:sz="6" w:space="0"/>
        </w:pBdr>
        <w:kinsoku/>
        <w:autoSpaceDE/>
        <w:autoSpaceDN w:val="0"/>
        <w:spacing w:line="450" w:lineRule="atLeast"/>
        <w:rPr>
          <w:rFonts w:hint="default" w:ascii="Arial"/>
          <w:b/>
          <w:snapToGrid/>
          <w:color w:val="00A0E8"/>
          <w:sz w:val="21"/>
        </w:rPr>
      </w:pPr>
      <w:r>
        <w:rPr>
          <w:rFonts w:hint="eastAsia"/>
        </w:rPr>
        <w:t>　　</w:t>
      </w:r>
      <w:r>
        <w:rPr>
          <w:rFonts w:hint="default" w:ascii="Arial"/>
          <w:b/>
          <w:snapToGrid/>
          <w:color w:val="00A0E8"/>
          <w:sz w:val="21"/>
        </w:rPr>
        <w:t>产品理念</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在多年IT专业服务的实践中，蓝凌专家们发现成长型企业在知识、协同管理系统建设中，面临的困难层出不穷……种种困难和要求归纳起来,主要是以下几个要求：</w:t>
      </w:r>
    </w:p>
    <w:p>
      <w:pPr>
        <w:numPr>
          <w:ilvl w:val="0"/>
          <w:numId w:val="2"/>
        </w:numPr>
        <w:kinsoku/>
        <w:autoSpaceDE/>
        <w:autoSpaceDN w:val="0"/>
        <w:spacing w:before="300" w:beforeLines="0" w:line="375" w:lineRule="atLeast"/>
        <w:ind w:left="360" w:firstLine="0"/>
        <w:rPr>
          <w:rFonts w:hint="default" w:ascii="Arial"/>
          <w:snapToGrid/>
          <w:color w:val="666666"/>
          <w:sz w:val="18"/>
        </w:rPr>
      </w:pPr>
      <w:r>
        <w:rPr>
          <w:rFonts w:hint="default" w:ascii="Arial"/>
          <w:b/>
          <w:snapToGrid/>
          <w:color w:val="666666"/>
          <w:sz w:val="18"/>
        </w:rPr>
        <w:t>丰富的模块：</w:t>
      </w:r>
      <w:r>
        <w:rPr>
          <w:rFonts w:hint="default" w:ascii="Arial"/>
          <w:snapToGrid/>
          <w:color w:val="666666"/>
          <w:sz w:val="18"/>
        </w:rPr>
        <w:t>成长型企业IT管理需求面很广，很难每种都采购专业的管理软件，所以希望除了提供门户、流程、知识的协同应用外，还需要提供或集成适用的业务管理模块。</w:t>
      </w:r>
    </w:p>
    <w:p>
      <w:pPr>
        <w:numPr>
          <w:ilvl w:val="0"/>
          <w:numId w:val="2"/>
        </w:numPr>
        <w:kinsoku/>
        <w:autoSpaceDE/>
        <w:autoSpaceDN w:val="0"/>
        <w:spacing w:before="300" w:beforeLines="0" w:line="375" w:lineRule="atLeast"/>
        <w:ind w:left="360" w:firstLine="0"/>
        <w:rPr>
          <w:rFonts w:hint="default" w:ascii="Arial"/>
          <w:snapToGrid/>
          <w:color w:val="666666"/>
          <w:sz w:val="18"/>
        </w:rPr>
      </w:pPr>
      <w:r>
        <w:rPr>
          <w:rFonts w:hint="default" w:ascii="Arial"/>
          <w:b/>
          <w:snapToGrid/>
          <w:color w:val="666666"/>
          <w:sz w:val="18"/>
        </w:rPr>
        <w:t>管理的传递：</w:t>
      </w:r>
      <w:r>
        <w:rPr>
          <w:rFonts w:hint="default" w:ascii="Arial"/>
          <w:snapToGrid/>
          <w:color w:val="666666"/>
          <w:sz w:val="18"/>
        </w:rPr>
        <w:t>软件的价值源于管理思想，成长型企业都很有管理想法，但苦于无较好的借鉴，所以希望可以快速学习行业标杆和大型企业的管理经验，结合企业自身特点，形成企业自身高效能、高价值的管理模型。</w:t>
      </w:r>
    </w:p>
    <w:p>
      <w:pPr>
        <w:numPr>
          <w:ilvl w:val="0"/>
          <w:numId w:val="2"/>
        </w:numPr>
        <w:kinsoku/>
        <w:autoSpaceDE/>
        <w:autoSpaceDN w:val="0"/>
        <w:spacing w:before="300" w:beforeLines="0" w:line="375" w:lineRule="atLeast"/>
        <w:ind w:left="360" w:firstLine="0"/>
        <w:rPr>
          <w:rFonts w:hint="default" w:ascii="Arial"/>
          <w:snapToGrid/>
          <w:color w:val="666666"/>
          <w:sz w:val="18"/>
        </w:rPr>
      </w:pPr>
      <w:r>
        <w:rPr>
          <w:rFonts w:hint="default" w:ascii="Arial"/>
          <w:b/>
          <w:snapToGrid/>
          <w:color w:val="666666"/>
          <w:sz w:val="18"/>
        </w:rPr>
        <w:t>变化的需求：</w:t>
      </w:r>
      <w:r>
        <w:rPr>
          <w:rFonts w:hint="default" w:ascii="Arial"/>
          <w:snapToGrid/>
          <w:color w:val="666666"/>
          <w:sz w:val="18"/>
        </w:rPr>
        <w:t>受市场和政策的变化，成长型企业会形成业务的增减与调整，从而导致IT应用需求变化，而且后期IT系统不断建设也带来了集成的要求。这就需要一个可以随着业务变化而变化的支撑平台来支撑未来的扩张应用。</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怎样才能解决这三大问题呢？经过蓝凌专家们多年研究和探索，结合实践，蓝凌公司认为这三大问题的根本解决之道是：『平台』+『模板』+『应用』三位一体</w:t>
      </w:r>
    </w:p>
    <w:p>
      <w:pPr>
        <w:numPr>
          <w:ilvl w:val="0"/>
          <w:numId w:val="3"/>
        </w:numPr>
        <w:kinsoku/>
        <w:autoSpaceDE/>
        <w:autoSpaceDN w:val="0"/>
        <w:spacing w:line="375" w:lineRule="atLeast"/>
        <w:ind w:left="360" w:firstLine="0"/>
        <w:rPr>
          <w:rFonts w:hint="default" w:ascii="Arial"/>
          <w:snapToGrid/>
          <w:color w:val="666666"/>
          <w:sz w:val="18"/>
        </w:rPr>
      </w:pPr>
      <w:r>
        <w:rPr>
          <w:rFonts w:hint="default" w:ascii="Arial"/>
          <w:b/>
          <w:snapToGrid/>
          <w:color w:val="666666"/>
          <w:sz w:val="18"/>
        </w:rPr>
        <w:t>两个平台：</w:t>
      </w:r>
      <w:r>
        <w:rPr>
          <w:rFonts w:hint="default" w:ascii="Arial"/>
          <w:snapToGrid/>
          <w:color w:val="666666"/>
          <w:sz w:val="18"/>
        </w:rPr>
        <w:t>以不变应万变，构建面向业务的配置平台和面向集成的开发平台，快速、持续、高效的响应需求的变化；</w:t>
      </w:r>
    </w:p>
    <w:p>
      <w:pPr>
        <w:numPr>
          <w:ilvl w:val="0"/>
          <w:numId w:val="3"/>
        </w:numPr>
        <w:kinsoku/>
        <w:autoSpaceDE/>
        <w:autoSpaceDN w:val="0"/>
        <w:spacing w:line="375" w:lineRule="atLeast"/>
        <w:ind w:left="360" w:firstLine="0"/>
        <w:rPr>
          <w:rFonts w:hint="default" w:ascii="Arial"/>
          <w:snapToGrid/>
          <w:color w:val="666666"/>
          <w:sz w:val="18"/>
        </w:rPr>
      </w:pPr>
      <w:r>
        <w:rPr>
          <w:rFonts w:hint="default" w:ascii="Arial"/>
          <w:b/>
          <w:snapToGrid/>
          <w:color w:val="666666"/>
          <w:sz w:val="18"/>
        </w:rPr>
        <w:t>三类模板：</w:t>
      </w:r>
      <w:r>
        <w:rPr>
          <w:rFonts w:hint="default" w:ascii="Arial"/>
          <w:snapToGrid/>
          <w:color w:val="666666"/>
          <w:sz w:val="18"/>
        </w:rPr>
        <w:t>结合多年为企业500强和信息化500强企业的管理经验，提供各类基于门户风格模板、流程模板、知识模板，快速实现经验传递与经验整合；</w:t>
      </w:r>
    </w:p>
    <w:p>
      <w:pPr>
        <w:numPr>
          <w:ilvl w:val="0"/>
          <w:numId w:val="3"/>
        </w:numPr>
        <w:kinsoku/>
        <w:autoSpaceDE/>
        <w:autoSpaceDN w:val="0"/>
        <w:spacing w:line="375" w:lineRule="atLeast"/>
        <w:ind w:left="360" w:firstLine="0"/>
        <w:rPr>
          <w:rFonts w:hint="default" w:ascii="Arial"/>
          <w:snapToGrid/>
          <w:color w:val="666666"/>
          <w:sz w:val="18"/>
        </w:rPr>
      </w:pPr>
      <w:r>
        <w:rPr>
          <w:rFonts w:hint="default" w:ascii="Arial"/>
          <w:b/>
          <w:snapToGrid/>
          <w:color w:val="666666"/>
          <w:sz w:val="18"/>
        </w:rPr>
        <w:t>四大应用：</w:t>
      </w:r>
      <w:r>
        <w:rPr>
          <w:rFonts w:hint="default" w:ascii="Arial"/>
          <w:snapToGrid/>
          <w:color w:val="666666"/>
          <w:sz w:val="18"/>
        </w:rPr>
        <w:t>以协同为核心、知识为营养、文化为灵魂，以人为导向的四大应用。快速协助您的企业走上智慧的协同大道！</w:t>
      </w:r>
    </w:p>
    <w:p>
      <w:pPr>
        <w:pBdr>
          <w:top w:val="single" w:color="CCCCCC" w:sz="6" w:space="0"/>
          <w:bottom w:val="single" w:color="CCCCCC" w:sz="6" w:space="0"/>
        </w:pBdr>
        <w:kinsoku/>
        <w:autoSpaceDE/>
        <w:autoSpaceDN w:val="0"/>
        <w:spacing w:line="450" w:lineRule="atLeast"/>
        <w:rPr>
          <w:rFonts w:hint="default" w:ascii="Arial"/>
          <w:b/>
          <w:snapToGrid/>
          <w:color w:val="00A0E8"/>
          <w:sz w:val="21"/>
        </w:rPr>
      </w:pPr>
      <w:r>
        <w:rPr>
          <w:rFonts w:hint="eastAsia"/>
        </w:rPr>
        <w:t>　　</w:t>
      </w:r>
      <w:r>
        <w:rPr>
          <w:rFonts w:hint="default" w:ascii="Arial"/>
          <w:b/>
          <w:snapToGrid/>
          <w:color w:val="00A0E8"/>
          <w:sz w:val="21"/>
        </w:rPr>
        <w:t>技术架构</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蓝凌EIS技术核心采用微软.NET和SharePoint两个框架体系。</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采用微软的.NET技术体系，实现业务逻辑、数据通讯、数据存储一体化，充分降低各类技术的集成难度，能够减少异构系统之间的集成风险和难度；.NET体系具有易开发、易维护、前端表现形式丰富等特点，既能够满足B/S结构的客户端架构，又能够满足复杂的数据表现。在EIS中主要实现表单设计器、流程设计器、报表设计器、系统集成器及各种业务功能应用。</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采用</w:t>
      </w:r>
      <w:r>
        <w:rPr>
          <w:rFonts w:hint="default" w:ascii="Arial"/>
          <w:b/>
          <w:snapToGrid/>
          <w:color w:val="666666"/>
          <w:sz w:val="18"/>
        </w:rPr>
        <w:t>Windows SharePoint Services</w:t>
      </w:r>
      <w:r>
        <w:rPr>
          <w:rFonts w:hint="default" w:ascii="Arial"/>
          <w:snapToGrid/>
          <w:color w:val="666666"/>
          <w:sz w:val="18"/>
        </w:rPr>
        <w:t>基础平台，使用该通用技术可以为各种规模的组织和业务部门提高业务流程效率和团队工作效率。SharePoint更大的价值在于，它是一个企业信息化的平台，是一个骨架，企业的所有的应用都可以透过它，来完成各自的工作，并且通过这个平台，来展现企业信息的各个方面。在EIS中主要实现企业级门户、新闻、通知、知识文档管理以及与微软Office系列快速无缝整合。</w:t>
      </w:r>
    </w:p>
    <w:p>
      <w:pPr>
        <w:pBdr>
          <w:top w:val="single" w:color="CCCCCC" w:sz="6" w:space="0"/>
          <w:bottom w:val="single" w:color="CCCCCC" w:sz="6" w:space="0"/>
        </w:pBdr>
        <w:kinsoku/>
        <w:autoSpaceDE/>
        <w:autoSpaceDN w:val="0"/>
        <w:spacing w:line="450" w:lineRule="atLeast"/>
        <w:rPr>
          <w:rFonts w:hint="default" w:ascii="Arial"/>
          <w:b/>
          <w:snapToGrid/>
          <w:color w:val="00A0E8"/>
          <w:sz w:val="21"/>
        </w:rPr>
      </w:pPr>
      <w:r>
        <w:rPr>
          <w:rFonts w:hint="eastAsia"/>
        </w:rPr>
        <w:t>　　</w:t>
      </w:r>
      <w:r>
        <w:rPr>
          <w:rFonts w:hint="default" w:ascii="Arial"/>
          <w:b/>
          <w:snapToGrid/>
          <w:color w:val="00A0E8"/>
          <w:sz w:val="21"/>
        </w:rPr>
        <w:t>产品特点</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采用Ajax、Web Service、Portal、移动应用等先进技术，并结合多年最佳客户实践，使EIS平台拥有了四大核心优势。</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1E9ADE"/>
          <w:sz w:val="21"/>
        </w:rPr>
        <w:t>1. 面向业务的配置平台</w:t>
      </w:r>
      <w:r>
        <w:rPr>
          <w:rFonts w:hint="default" w:ascii="Arial"/>
          <w:snapToGrid/>
          <w:color w:val="666666"/>
          <w:sz w:val="18"/>
        </w:rPr>
        <w:cr/>
      </w:r>
      <w:r>
        <w:rPr>
          <w:rFonts w:hint="default" w:ascii="Arial"/>
          <w:snapToGrid/>
          <w:color w:val="666666"/>
          <w:sz w:val="18"/>
        </w:rPr>
        <w:t>以不变应万变，对信息管理系统的五元素（组织、表单、流转、统计、权限）提供面向业务的配置平台，无须代码开发，即可轻松适应因业务变化而发生的需求变化。对于有IT基础的人员还提供基于JavaScript和SQL语句的编写接口，实现页面逻辑的验证与数据的交互处理。</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1.1 易调整的组织配置</w:t>
      </w:r>
      <w:r>
        <w:rPr>
          <w:rFonts w:hint="default" w:ascii="Arial"/>
          <w:snapToGrid/>
          <w:color w:val="666666"/>
          <w:sz w:val="18"/>
        </w:rPr>
        <w:cr/>
      </w:r>
      <w:r>
        <w:rPr>
          <w:rFonts w:hint="default" w:ascii="Arial"/>
          <w:snapToGrid/>
          <w:color w:val="666666"/>
          <w:sz w:val="18"/>
        </w:rPr>
        <w:t>支持层级化的公司、部门、岗位配置，支持一人多岗和个人/公共群组设置，能够灵活支撑组织架构和人员岗位变更（权限的自动继承）。</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1.2 Word转电子表单</w:t>
      </w:r>
      <w:r>
        <w:rPr>
          <w:rFonts w:hint="default" w:ascii="Arial"/>
          <w:snapToGrid/>
          <w:color w:val="666666"/>
          <w:sz w:val="18"/>
        </w:rPr>
        <w:cr/>
      </w:r>
      <w:r>
        <w:rPr>
          <w:rFonts w:hint="default" w:ascii="Arial"/>
          <w:snapToGrid/>
          <w:color w:val="666666"/>
          <w:sz w:val="18"/>
        </w:rPr>
        <w:t>表单设计器以MS WORD表格作为模板，导入系统后，由系统自动转化为电子表单。通过EIS的表单设计器可快速将企业纸质办公的各类WORD表格进行转换，既保留了企业原有的办公习惯，又实现了电子化办公。</w:t>
      </w:r>
      <w:r>
        <w:rPr>
          <w:rFonts w:hint="default" w:ascii="Arial"/>
          <w:snapToGrid/>
          <w:color w:val="666666"/>
          <w:sz w:val="18"/>
        </w:rPr>
        <w:cr/>
      </w:r>
      <w:r>
        <w:rPr>
          <w:rFonts w:hint="default" w:ascii="Arial"/>
          <w:snapToGrid/>
          <w:color w:val="666666"/>
          <w:sz w:val="18"/>
        </w:rPr>
        <w:t>表单设计器结合SQL Server存储过程、JavaScript脚本应用，使系统不需二次开发就能新增、修改、删除业务模块。</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1.3 强大的流程引擎</w:t>
      </w:r>
      <w:r>
        <w:rPr>
          <w:rFonts w:hint="default" w:ascii="Arial"/>
          <w:snapToGrid/>
          <w:color w:val="666666"/>
          <w:sz w:val="18"/>
        </w:rPr>
        <w:cr/>
      </w:r>
      <w:r>
        <w:rPr>
          <w:rFonts w:hint="default" w:ascii="Arial"/>
          <w:snapToGrid/>
          <w:color w:val="666666"/>
          <w:sz w:val="18"/>
        </w:rPr>
        <w:t>提供强大的自定义功能，完全适应因组织发展而发生的流程改变。工作流定义选项丰富，可以实时监控与督办流程的处理，支持多条件分支、加签、转办、收回，无须进行二次开发，即可快速定义出与现有办公环境相符和优化的流程。</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1.4 柔性的报表工具</w:t>
      </w:r>
      <w:r>
        <w:rPr>
          <w:rFonts w:hint="default" w:ascii="Arial"/>
          <w:snapToGrid/>
          <w:color w:val="666666"/>
          <w:sz w:val="18"/>
        </w:rPr>
        <w:cr/>
      </w:r>
      <w:r>
        <w:rPr>
          <w:rFonts w:hint="default" w:ascii="Arial"/>
          <w:snapToGrid/>
          <w:color w:val="666666"/>
          <w:sz w:val="18"/>
        </w:rPr>
        <w:t>报表数据源采集不仅支持自身数据源，而且还可以提取其他异构系统的数据源（SQL Server、Oracle、Sybase等）；支持各类数据的组合查询、分组统计和动态图形报表展现等。最终通过门户界面进行展现。</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1.5 严谨的安全体系</w:t>
      </w:r>
      <w:r>
        <w:rPr>
          <w:rFonts w:hint="default" w:ascii="Arial"/>
          <w:snapToGrid/>
          <w:color w:val="666666"/>
          <w:sz w:val="18"/>
        </w:rPr>
        <w:cr/>
      </w:r>
      <w:r>
        <w:rPr>
          <w:rFonts w:hint="default" w:ascii="Arial"/>
          <w:snapToGrid/>
          <w:color w:val="666666"/>
          <w:sz w:val="18"/>
        </w:rPr>
        <w:t>遵循CMMI质量标准和管理体系，支持集团化管控的多层次、多级别授权。严谨的安全机制（AD安全、访问IP控制、健全的日志记录、登录短信提醒、重要流程环节短信验证码、数据域颗粒级控制……），为系统提供了网络层、访问层、模块层、应用层、数据层的五重保险。</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1E9ADE"/>
          <w:sz w:val="21"/>
        </w:rPr>
        <w:t>2. 面向集成的开发平台</w:t>
      </w:r>
      <w:r>
        <w:rPr>
          <w:rFonts w:hint="default" w:ascii="Arial"/>
          <w:snapToGrid/>
          <w:color w:val="666666"/>
          <w:sz w:val="18"/>
        </w:rPr>
        <w:cr/>
      </w:r>
      <w:r>
        <w:rPr>
          <w:rFonts w:hint="default" w:ascii="Arial"/>
          <w:b/>
          <w:snapToGrid/>
          <w:color w:val="666666"/>
          <w:sz w:val="18"/>
        </w:rPr>
        <w:t>2.1 SharePoint基础应用平台</w:t>
      </w:r>
      <w:r>
        <w:rPr>
          <w:rFonts w:hint="default" w:ascii="Arial"/>
          <w:snapToGrid/>
          <w:color w:val="666666"/>
          <w:sz w:val="18"/>
        </w:rPr>
        <w:cr/>
      </w:r>
      <w:r>
        <w:rPr>
          <w:rFonts w:hint="default" w:ascii="Arial"/>
          <w:b/>
          <w:snapToGrid/>
          <w:color w:val="666666"/>
          <w:sz w:val="18"/>
        </w:rPr>
        <w:t>SharePoint</w:t>
      </w:r>
      <w:r>
        <w:rPr>
          <w:rFonts w:hint="default" w:ascii="Arial"/>
          <w:snapToGrid/>
          <w:color w:val="666666"/>
          <w:sz w:val="18"/>
        </w:rPr>
        <w:t>是一个基础应用平台,拥有强大的内容管理,具有灵活的开放性,扩展性极强。从集成性上来讲，SharePoint与微软的其它产品集成度很深,用户体验一致。而这一切都不依赖于产品服务商。</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2.2 基于Web服务的集成接口</w:t>
      </w:r>
      <w:r>
        <w:rPr>
          <w:rFonts w:hint="default" w:ascii="Arial"/>
          <w:snapToGrid/>
          <w:color w:val="666666"/>
          <w:sz w:val="18"/>
        </w:rPr>
        <w:cr/>
      </w:r>
      <w:r>
        <w:rPr>
          <w:rFonts w:hint="default" w:ascii="Arial"/>
          <w:snapToGrid/>
          <w:color w:val="666666"/>
          <w:sz w:val="18"/>
        </w:rPr>
        <w:t>Web Service完全基于XML、SOAP、WSDL、UDDI等独立于平台、独立于软件供应商的标准，是创建可互操作的、分布式应用程序的新平台。Web服务和数据接口让EIS更具扩展性和生命力。</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1E9ADE"/>
          <w:sz w:val="21"/>
        </w:rPr>
        <w:t>3. 管理经验的传承模板</w:t>
      </w:r>
      <w:r>
        <w:rPr>
          <w:rFonts w:hint="default" w:ascii="Arial"/>
          <w:snapToGrid/>
          <w:color w:val="666666"/>
          <w:sz w:val="18"/>
        </w:rPr>
        <w:cr/>
      </w:r>
      <w:r>
        <w:rPr>
          <w:rFonts w:hint="default" w:ascii="Arial"/>
          <w:b/>
          <w:snapToGrid/>
          <w:color w:val="666666"/>
          <w:sz w:val="18"/>
        </w:rPr>
        <w:t>3.1 流程模板</w:t>
      </w:r>
      <w:r>
        <w:rPr>
          <w:rFonts w:hint="default" w:ascii="Arial"/>
          <w:snapToGrid/>
          <w:color w:val="666666"/>
          <w:sz w:val="18"/>
        </w:rPr>
        <w:cr/>
      </w:r>
      <w:r>
        <w:rPr>
          <w:rFonts w:hint="default" w:ascii="Arial"/>
          <w:snapToGrid/>
          <w:color w:val="666666"/>
          <w:sz w:val="18"/>
        </w:rPr>
        <w:t>提供通用组织的管理支撑类（行政、人事、财务）流程和模板，快速实现无纸化办公。</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3.2 知识模板</w:t>
      </w:r>
      <w:r>
        <w:rPr>
          <w:rFonts w:hint="default" w:ascii="Arial"/>
          <w:snapToGrid/>
          <w:color w:val="666666"/>
          <w:sz w:val="18"/>
        </w:rPr>
        <w:cr/>
      </w:r>
      <w:r>
        <w:rPr>
          <w:rFonts w:hint="default" w:ascii="Arial"/>
          <w:snapToGrid/>
          <w:color w:val="666666"/>
          <w:sz w:val="18"/>
        </w:rPr>
        <w:t>提供通用组织的知识分类和知识模板（如基于BSC的战略规划地图、新员工入职指引、岗位素质要求、岗位员工培养计划、企业规章制度等），协助企业快速插上知识管理的翅膀。</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3.3 界面模板</w:t>
      </w:r>
      <w:r>
        <w:rPr>
          <w:rFonts w:hint="default" w:ascii="Arial"/>
          <w:snapToGrid/>
          <w:color w:val="666666"/>
          <w:sz w:val="18"/>
        </w:rPr>
        <w:cr/>
      </w:r>
      <w:r>
        <w:rPr>
          <w:rFonts w:hint="default" w:ascii="Arial"/>
          <w:snapToGrid/>
          <w:color w:val="666666"/>
          <w:sz w:val="18"/>
        </w:rPr>
        <w:t>提供中国节假日的风格模板（如：元旦、春节、五一、端午、中秋、国庆、重阳、圣诞、元宵等），让员工感受到企业节日文化氛围！</w:t>
      </w:r>
    </w:p>
    <w:p>
      <w:pPr>
        <w:pBdr>
          <w:top w:val="single" w:color="CCCCCC" w:sz="6" w:space="0"/>
          <w:bottom w:val="single" w:color="CCCCCC" w:sz="6" w:space="0"/>
        </w:pBdr>
        <w:kinsoku/>
        <w:autoSpaceDE/>
        <w:autoSpaceDN w:val="0"/>
        <w:spacing w:line="450" w:lineRule="atLeast"/>
        <w:rPr>
          <w:rFonts w:hint="default" w:ascii="Arial"/>
          <w:b/>
          <w:snapToGrid/>
          <w:color w:val="00A0E8"/>
          <w:sz w:val="21"/>
        </w:rPr>
      </w:pPr>
      <w:r>
        <w:rPr>
          <w:rFonts w:hint="default" w:ascii="Arial"/>
          <w:b/>
          <w:snapToGrid/>
          <w:color w:val="1E9ADE"/>
          <w:sz w:val="21"/>
        </w:rPr>
        <w:t>4. 强大的知识管理工具</w:t>
      </w:r>
      <w:r>
        <w:rPr>
          <w:rFonts w:hint="default" w:ascii="Arial"/>
          <w:snapToGrid/>
          <w:color w:val="666666"/>
          <w:sz w:val="18"/>
        </w:rPr>
        <w:cr/>
      </w:r>
      <w:r>
        <w:rPr>
          <w:rFonts w:hint="default" w:ascii="Arial"/>
          <w:snapToGrid/>
          <w:color w:val="666666"/>
          <w:sz w:val="18"/>
        </w:rPr>
        <w:t>涵盖知识中心、文档、案例、总结、制度，成长型企业知识应用的最佳组合，并提供知识分类的导入导出工具</w:t>
      </w:r>
      <w:r>
        <w:rPr>
          <w:rFonts w:hint="default" w:ascii="Arial"/>
          <w:b/>
          <w:snapToGrid/>
          <w:color w:val="00A0E8"/>
          <w:sz w:val="21"/>
        </w:rPr>
        <w:t>功能模块</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企业门户是一种新的信息化展现形式，是企业内部员工、客户、合作伙伴访问企业应用系统的统一入口。通过EIS门户应用方案可以快速构建企业门户，在企业原有应用的基础上进行整合，通过整合企业现有的IT资源、保护原有的投资，实现“以员工为中心”的统一工作支撑平台。</w:t>
      </w:r>
    </w:p>
    <w:p>
      <w:pPr>
        <w:kinsoku/>
        <w:autoSpaceDE/>
        <w:autoSpaceDN w:val="0"/>
        <w:spacing w:before="225" w:beforeLines="0" w:after="225" w:afterLines="0" w:line="375" w:lineRule="atLeast"/>
        <w:rPr>
          <w:rFonts w:hint="default" w:ascii="Arial"/>
          <w:snapToGrid/>
          <w:color w:val="666666"/>
          <w:sz w:val="18"/>
        </w:rPr>
      </w:pPr>
      <w:r>
        <w:rPr>
          <w:rFonts w:hint="default" w:ascii="Arial"/>
          <w:snapToGrid/>
          <w:color w:val="666666"/>
          <w:sz w:val="18"/>
        </w:rPr>
        <w:t>EIS充分吸收.NET技术的标准集成、高效运作、简化应用等优点，整合SharePoint强大的门户、文档、搜索功能，在此基础上结合蓝凌多年的知识管理经验，形成了EIS产品核心应用。</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1E9ADE"/>
          <w:sz w:val="21"/>
        </w:rPr>
        <w:t>1. 协同管理</w:t>
      </w:r>
      <w:r>
        <w:rPr>
          <w:rFonts w:hint="default" w:ascii="Arial"/>
          <w:snapToGrid/>
          <w:color w:val="666666"/>
          <w:sz w:val="18"/>
        </w:rPr>
        <w:cr/>
      </w:r>
      <w:r>
        <w:rPr>
          <w:rFonts w:hint="default" w:ascii="Arial"/>
          <w:snapToGrid/>
          <w:color w:val="666666"/>
          <w:sz w:val="18"/>
        </w:rPr>
        <w:t>协同管理是通过对系统中各个子系统进行功能结构的重组，产生一种具有“合作、协调”的能力，实现跨组织、跨区域的协作。</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1.1 流程管理</w:t>
      </w:r>
      <w:r>
        <w:rPr>
          <w:rFonts w:hint="default" w:ascii="Arial"/>
          <w:snapToGrid/>
          <w:color w:val="666666"/>
          <w:sz w:val="18"/>
        </w:rPr>
        <w:cr/>
      </w:r>
      <w:r>
        <w:rPr>
          <w:rFonts w:hint="default" w:ascii="Arial"/>
          <w:snapToGrid/>
          <w:color w:val="666666"/>
          <w:sz w:val="18"/>
        </w:rPr>
        <w:t>企业的管理模式会跟随着市场环境的变化而改变，因此企业的业务流程也会随之改变。EIS工作流引擎，提供强大的自定义功能，支持多条件组合分支、创建子流程、流程相互引用、数据报警、超时控制、字段权限控制等，可与知识文档进行无缝结合。</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1.2 通知公告</w:t>
      </w:r>
      <w:r>
        <w:rPr>
          <w:rFonts w:hint="default" w:ascii="Arial"/>
          <w:snapToGrid/>
          <w:color w:val="666666"/>
          <w:sz w:val="18"/>
        </w:rPr>
        <w:cr/>
      </w:r>
      <w:r>
        <w:rPr>
          <w:rFonts w:hint="default" w:ascii="Arial"/>
          <w:snapToGrid/>
          <w:color w:val="666666"/>
          <w:sz w:val="18"/>
        </w:rPr>
        <w:t>以统一的途径，快速将通知传递到下属单位、部门、群组，可随时跟踪通知的接收情况（已阅人数，已阅人员，未阅人员等）。实现了信息的一致性和有效闭环处理。</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1.3 任务管理</w:t>
      </w:r>
      <w:r>
        <w:rPr>
          <w:rFonts w:hint="default" w:ascii="Arial"/>
          <w:snapToGrid/>
          <w:color w:val="666666"/>
          <w:sz w:val="18"/>
        </w:rPr>
        <w:cr/>
      </w:r>
      <w:r>
        <w:rPr>
          <w:rFonts w:hint="default" w:ascii="Arial"/>
          <w:snapToGrid/>
          <w:color w:val="666666"/>
          <w:sz w:val="18"/>
        </w:rPr>
        <w:t>可布置个人计划、安排他人任务，并对接收的任务进行处理。实现组织内部快速沟通，打破部门间的协作壁垒。</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1.4 会议管理</w:t>
      </w:r>
      <w:r>
        <w:rPr>
          <w:rFonts w:hint="default" w:ascii="Arial"/>
          <w:snapToGrid/>
          <w:color w:val="666666"/>
          <w:sz w:val="18"/>
        </w:rPr>
        <w:cr/>
      </w:r>
      <w:r>
        <w:rPr>
          <w:rFonts w:hint="default" w:ascii="Arial"/>
          <w:snapToGrid/>
          <w:color w:val="666666"/>
          <w:sz w:val="18"/>
        </w:rPr>
        <w:t>会议是制定决策和宏观战略的重要手段。会议管理模块实现了会议室的统筹安排、发送会议通知、显示会议日程、定时提醒与会人员等。</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1E9ADE"/>
          <w:sz w:val="21"/>
        </w:rPr>
        <w:t>2. 知识管理</w:t>
      </w:r>
      <w:r>
        <w:rPr>
          <w:rFonts w:hint="default" w:ascii="Arial"/>
          <w:snapToGrid/>
          <w:color w:val="666666"/>
          <w:sz w:val="18"/>
        </w:rPr>
        <w:cr/>
      </w:r>
      <w:r>
        <w:rPr>
          <w:rFonts w:hint="default" w:ascii="Arial"/>
          <w:snapToGrid/>
          <w:color w:val="666666"/>
          <w:sz w:val="18"/>
        </w:rPr>
        <w:t>知识是组织的一种特殊资源，是个人和组织的智力资产。知识管理是运用管理及技术手段将人与知识充分结合，创造知识共享的行为模式和文化，通过知识应用及创新，提升组织核心能力，为企业创造价值。</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2.1 文档管理</w:t>
      </w:r>
      <w:r>
        <w:rPr>
          <w:rFonts w:hint="default" w:ascii="Arial"/>
          <w:snapToGrid/>
          <w:color w:val="666666"/>
          <w:sz w:val="18"/>
        </w:rPr>
        <w:cr/>
      </w:r>
      <w:r>
        <w:rPr>
          <w:rFonts w:hint="default" w:ascii="Arial"/>
          <w:snapToGrid/>
          <w:color w:val="666666"/>
          <w:sz w:val="18"/>
        </w:rPr>
        <w:t>基于SharePoint的文档管理模型，支持多维度、多版本、流程审批、点评、推荐等应用。并采用互联网最为流行的组合式搜索，让企业员工快速高效找到所需知识。</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2.2 工作总结</w:t>
      </w:r>
      <w:r>
        <w:rPr>
          <w:rFonts w:hint="default" w:ascii="Arial"/>
          <w:snapToGrid/>
          <w:color w:val="666666"/>
          <w:sz w:val="18"/>
        </w:rPr>
        <w:cr/>
      </w:r>
      <w:r>
        <w:rPr>
          <w:rFonts w:hint="default" w:ascii="Arial"/>
          <w:snapToGrid/>
          <w:color w:val="666666"/>
          <w:sz w:val="18"/>
        </w:rPr>
        <w:t>以计划为依据，肯定成绩、归纳经验教训、明确方向，对工作进行理性的思考和总结。可建立周总结、月总结、季总结、年总结等各类模板，并自动实现计划与总结的联动。</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2.3 案例管理</w:t>
      </w:r>
      <w:r>
        <w:rPr>
          <w:rFonts w:hint="default" w:ascii="Arial"/>
          <w:snapToGrid/>
          <w:color w:val="666666"/>
          <w:sz w:val="18"/>
        </w:rPr>
        <w:cr/>
      </w:r>
      <w:r>
        <w:rPr>
          <w:rFonts w:hint="default" w:ascii="Arial"/>
          <w:snapToGrid/>
          <w:color w:val="666666"/>
          <w:sz w:val="18"/>
        </w:rPr>
        <w:t>对案例进行分析、沉淀，实现经验的显性传承，是企业最有价值的知识宝库。支持层次案例分类和组合型搜索，让员工快速学习、快速成长，让工作更智慧。</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2.4 规章制度</w:t>
      </w:r>
      <w:r>
        <w:rPr>
          <w:rFonts w:hint="default" w:ascii="Arial"/>
          <w:snapToGrid/>
          <w:color w:val="666666"/>
          <w:sz w:val="18"/>
        </w:rPr>
        <w:cr/>
      </w:r>
      <w:r>
        <w:rPr>
          <w:rFonts w:hint="default" w:ascii="Arial"/>
          <w:snapToGrid/>
          <w:color w:val="666666"/>
          <w:sz w:val="18"/>
        </w:rPr>
        <w:t>遵守规章制度的告知和公示程序，让员工随时学习和了解，支持制度的多版本管理。</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1E9ADE"/>
          <w:sz w:val="21"/>
        </w:rPr>
        <w:t>3. 文化管理</w:t>
      </w:r>
      <w:r>
        <w:rPr>
          <w:rFonts w:hint="default" w:ascii="Arial"/>
          <w:snapToGrid/>
          <w:color w:val="666666"/>
          <w:sz w:val="18"/>
        </w:rPr>
        <w:cr/>
      </w:r>
      <w:r>
        <w:rPr>
          <w:rFonts w:hint="default" w:ascii="Arial"/>
          <w:snapToGrid/>
          <w:color w:val="666666"/>
          <w:sz w:val="18"/>
        </w:rPr>
        <w:t>企业文化是企业内全体成员的意志、特性、习惯和科学文化水平等因素相互作用的结果。通过对企业文化5要素：企业环境、价值观、英雄人物、文化仪式和文化网络进行有效展示，传递和反映出职工的愿望和心态。</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3.1 新闻管理</w:t>
      </w:r>
      <w:r>
        <w:rPr>
          <w:rFonts w:hint="default" w:ascii="Arial"/>
          <w:snapToGrid/>
          <w:color w:val="666666"/>
          <w:sz w:val="18"/>
        </w:rPr>
        <w:cr/>
      </w:r>
      <w:r>
        <w:rPr>
          <w:rFonts w:hint="default" w:ascii="Arial"/>
          <w:snapToGrid/>
          <w:color w:val="666666"/>
          <w:sz w:val="18"/>
        </w:rPr>
        <w:t>用户可以通过新闻发布功能，发布公司新闻、行业资讯、图片新闻等,支持流程审批方可发布。使员工随时可看到最新的公司动态及相关的行业新闻，达到足不出户，浏览天下事。</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3.2 企业文化</w:t>
      </w:r>
      <w:r>
        <w:rPr>
          <w:rFonts w:hint="default" w:ascii="Arial"/>
          <w:snapToGrid/>
          <w:color w:val="666666"/>
          <w:sz w:val="18"/>
        </w:rPr>
        <w:cr/>
      </w:r>
      <w:r>
        <w:rPr>
          <w:rFonts w:hint="default" w:ascii="Arial"/>
          <w:snapToGrid/>
          <w:color w:val="666666"/>
          <w:sz w:val="18"/>
        </w:rPr>
        <w:t>企业文化之窗，可以放置企业概况、员工活动、员工风采、学习园地、员工关怀、公司刊物、总裁专栏等。让员工第一时间了解并融入企业的文化。</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3.3 论坛管理</w:t>
      </w:r>
      <w:r>
        <w:rPr>
          <w:rFonts w:hint="default" w:ascii="Arial"/>
          <w:snapToGrid/>
          <w:color w:val="666666"/>
          <w:sz w:val="18"/>
        </w:rPr>
        <w:cr/>
      </w:r>
      <w:r>
        <w:rPr>
          <w:rFonts w:hint="default" w:ascii="Arial"/>
          <w:snapToGrid/>
          <w:color w:val="666666"/>
          <w:sz w:val="18"/>
        </w:rPr>
        <w:t>提供员工互相交流的公共平台，是一个友好、方便、活跃的讨论区。通过内部论坛，用户之间就发表话题进行回复、提出意见，对工作、生活、学习上的各类话题进行沟通，交流心得体会。</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3.4 投票调查</w:t>
      </w:r>
      <w:r>
        <w:rPr>
          <w:rFonts w:hint="default" w:ascii="Arial"/>
          <w:snapToGrid/>
          <w:color w:val="666666"/>
          <w:sz w:val="18"/>
        </w:rPr>
        <w:cr/>
      </w:r>
      <w:r>
        <w:rPr>
          <w:rFonts w:hint="default" w:ascii="Arial"/>
          <w:snapToGrid/>
          <w:color w:val="666666"/>
          <w:sz w:val="18"/>
        </w:rPr>
        <w:t>公司可以面向员工组织各种各样的网上调查活动（如满意度、能力测评、制度变革、活动安排等）。为更好地开展工作提供便利和参考依据。</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1E9ADE"/>
          <w:sz w:val="21"/>
        </w:rPr>
        <w:t>4. 个人工作</w:t>
      </w:r>
      <w:r>
        <w:rPr>
          <w:rFonts w:hint="default" w:ascii="Arial"/>
          <w:snapToGrid/>
          <w:color w:val="666666"/>
          <w:sz w:val="18"/>
        </w:rPr>
        <w:cr/>
      </w:r>
      <w:r>
        <w:rPr>
          <w:rFonts w:hint="default" w:ascii="Arial"/>
          <w:snapToGrid/>
          <w:color w:val="666666"/>
          <w:sz w:val="18"/>
        </w:rPr>
        <w:t>以人为中心，融合计划、任务、会议、工作留言和待办、待阅事项。并可快速了解和查找公司组织和人员联络信息，便于沟通与协作。</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4.1 时间管理</w:t>
      </w:r>
      <w:r>
        <w:rPr>
          <w:rFonts w:hint="default" w:ascii="Arial"/>
          <w:snapToGrid/>
          <w:color w:val="666666"/>
          <w:sz w:val="18"/>
        </w:rPr>
        <w:cr/>
      </w:r>
      <w:r>
        <w:rPr>
          <w:rFonts w:hint="default" w:ascii="Arial"/>
          <w:snapToGrid/>
          <w:color w:val="666666"/>
          <w:sz w:val="18"/>
        </w:rPr>
        <w:t>系统遵循传统习惯，把计划、任务、会议放在日历上进行显示。用户可以随时了解您每天什么时候需要作什么，可以选择以月、周和日的不同显示格式进行查看；支持群组日历（可以虚拟成项目团队，工作组方式，了解协作任务）。</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4.2 工作留言</w:t>
      </w:r>
      <w:r>
        <w:rPr>
          <w:rFonts w:hint="default" w:ascii="Arial"/>
          <w:snapToGrid/>
          <w:color w:val="666666"/>
          <w:sz w:val="18"/>
        </w:rPr>
        <w:cr/>
      </w:r>
      <w:r>
        <w:rPr>
          <w:rFonts w:hint="default" w:ascii="Arial"/>
          <w:snapToGrid/>
          <w:color w:val="666666"/>
          <w:sz w:val="18"/>
        </w:rPr>
        <w:t>本模块也可作为</w:t>
      </w:r>
      <w:r>
        <w:rPr>
          <w:rFonts w:hint="default" w:ascii="Arial"/>
          <w:b/>
          <w:i/>
          <w:snapToGrid/>
          <w:color w:val="666666"/>
          <w:sz w:val="18"/>
        </w:rPr>
        <w:t>内部邮件</w:t>
      </w:r>
      <w:r>
        <w:rPr>
          <w:rFonts w:hint="default" w:ascii="Arial"/>
          <w:snapToGrid/>
          <w:color w:val="666666"/>
          <w:sz w:val="18"/>
        </w:rPr>
        <w:t>使用（相比传统邮件模式更节约网络带宽和存储空间）。用户可以向系统中的人员、群组（按岗位、机构、部门、职务、身份等形式）发送留言内容、图片、表情、附件。支持对留言进行回复（全部回复、私密性回复）、转发。</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4.3 消息中心</w:t>
      </w:r>
      <w:r>
        <w:rPr>
          <w:rFonts w:hint="default" w:ascii="Arial"/>
          <w:snapToGrid/>
          <w:color w:val="666666"/>
          <w:sz w:val="18"/>
        </w:rPr>
        <w:cr/>
      </w:r>
      <w:r>
        <w:rPr>
          <w:rFonts w:hint="default" w:ascii="Arial"/>
          <w:snapToGrid/>
          <w:color w:val="666666"/>
          <w:sz w:val="18"/>
        </w:rPr>
        <w:t>将您所有待处理消息、已处理消息，按处理类、阅读类，按今日、上一天、本周、本月、日期区间，按流程、传阅、通知、新闻、留言、文档等类别进行组合显示。事无巨细，无一遗漏。</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666666"/>
          <w:sz w:val="18"/>
        </w:rPr>
        <w:t>4.4 通讯录</w:t>
      </w:r>
      <w:r>
        <w:rPr>
          <w:rFonts w:hint="default" w:ascii="Arial"/>
          <w:snapToGrid/>
          <w:color w:val="666666"/>
          <w:sz w:val="18"/>
        </w:rPr>
        <w:cr/>
      </w:r>
      <w:r>
        <w:rPr>
          <w:rFonts w:hint="default" w:ascii="Arial"/>
          <w:snapToGrid/>
          <w:color w:val="666666"/>
          <w:sz w:val="18"/>
        </w:rPr>
        <w:t>记录联系人具体通讯信息，包括个人通讯录、公共通讯录和员工通讯录三种类型。并支持个人群组和公共群组设置。</w:t>
      </w:r>
    </w:p>
    <w:p>
      <w:pPr>
        <w:kinsoku/>
        <w:autoSpaceDE/>
        <w:autoSpaceDN w:val="0"/>
        <w:spacing w:before="225" w:beforeLines="0" w:after="225" w:afterLines="0" w:line="375" w:lineRule="atLeast"/>
        <w:rPr>
          <w:rFonts w:hint="default" w:ascii="Arial"/>
          <w:snapToGrid/>
          <w:color w:val="666666"/>
          <w:sz w:val="18"/>
        </w:rPr>
      </w:pPr>
      <w:r>
        <w:rPr>
          <w:rFonts w:hint="default" w:ascii="Arial"/>
          <w:b/>
          <w:snapToGrid/>
          <w:color w:val="1E9ADE"/>
          <w:sz w:val="21"/>
        </w:rPr>
        <w:t>5. 扩展应用</w:t>
      </w:r>
      <w:r>
        <w:rPr>
          <w:rFonts w:hint="default" w:ascii="Arial"/>
          <w:snapToGrid/>
          <w:color w:val="666666"/>
          <w:sz w:val="18"/>
        </w:rPr>
        <w:cr/>
      </w:r>
      <w:r>
        <w:rPr>
          <w:rFonts w:hint="default" w:ascii="Arial"/>
          <w:snapToGrid/>
          <w:color w:val="666666"/>
          <w:sz w:val="18"/>
        </w:rPr>
        <w:t>除了EIS（新一代）智慧协同平台四大标配核心应用之外，EIS还提供了丰富的可选模块，主要包括：手机办公、即时通讯、短信平台、在线考试、人事管理、资源管理和项目管理。（基于EXCEL模板，快速实现通用和行业化知识管理）。</w:t>
      </w:r>
    </w:p>
    <w:p>
      <w:pPr>
        <w:tabs>
          <w:tab w:val="left" w:pos="3780"/>
        </w:tabs>
        <w:rPr>
          <w:rFonts w:hint="eastAsia"/>
          <w:color w:val="FF0000"/>
          <w:lang w:val="en-US" w:eastAsia="zh-CN"/>
        </w:rPr>
      </w:pPr>
      <w:r>
        <w:rPr>
          <w:rFonts w:hint="eastAsia"/>
          <w:color w:val="FF0000"/>
          <w:lang w:val="en-US" w:eastAsia="zh-CN"/>
        </w:rPr>
        <w:t>2．</w:t>
      </w:r>
      <w:r>
        <w:rPr>
          <w:color w:val="FF0000"/>
        </w:rPr>
        <w:t>RFID</w:t>
      </w:r>
      <w:r>
        <w:rPr>
          <w:rFonts w:hint="eastAsia"/>
          <w:color w:val="FF0000"/>
          <w:lang w:val="en-US" w:eastAsia="zh-CN"/>
        </w:rPr>
        <w:t xml:space="preserve"> 应用 </w:t>
      </w:r>
    </w:p>
    <w:p>
      <w:pPr>
        <w:kinsoku/>
        <w:autoSpaceDE/>
        <w:autoSpaceDN w:val="0"/>
        <w:spacing w:before="225" w:beforeLines="0" w:after="225" w:afterLines="0" w:line="375" w:lineRule="atLeast"/>
        <w:jc w:val="both"/>
        <w:rPr>
          <w:rFonts w:hint="eastAsia"/>
          <w:lang w:eastAsia="zh-CN"/>
        </w:rPr>
      </w:pPr>
      <w:r>
        <w:rPr>
          <w:rFonts w:hint="eastAsia"/>
          <w:color w:val="FF0000"/>
          <w:lang w:val="en-US" w:eastAsia="zh-CN"/>
        </w:rPr>
        <w:t>3．ip-guard</w:t>
      </w:r>
      <w:r>
        <w:rPr>
          <w:rFonts w:hint="eastAsia"/>
          <w:lang w:eastAsia="zh-CN"/>
        </w:rPr>
        <w:t>　产品介绍　分三方面介绍产品　１功能介绍　２系统架构３系统要求</w:t>
      </w:r>
    </w:p>
    <w:p>
      <w:pPr>
        <w:kinsoku/>
        <w:autoSpaceDE/>
        <w:autoSpaceDN w:val="0"/>
        <w:spacing w:after="225" w:afterLines="0" w:line="375" w:lineRule="atLeast"/>
        <w:rPr>
          <w:rFonts w:hint="eastAsia"/>
          <w:lang w:eastAsia="zh-CN"/>
        </w:rPr>
      </w:pPr>
      <w:r>
        <w:rPr>
          <w:rFonts w:hint="eastAsia"/>
          <w:lang w:eastAsia="zh-CN"/>
        </w:rPr>
        <w:t>功能介绍：</w:t>
      </w:r>
    </w:p>
    <w:p>
      <w:pPr>
        <w:kinsoku/>
        <w:autoSpaceDE/>
        <w:autoSpaceDN w:val="0"/>
        <w:spacing w:after="225" w:afterLines="0" w:line="375" w:lineRule="atLeast"/>
        <w:rPr>
          <w:rFonts w:hint="default" w:ascii="Arial"/>
          <w:b/>
          <w:snapToGrid/>
          <w:color w:val="323232"/>
          <w:sz w:val="33"/>
        </w:rPr>
      </w:pPr>
      <w:r>
        <w:rPr>
          <w:rFonts w:hint="default" w:ascii="Arial"/>
          <w:b/>
          <w:snapToGrid/>
          <w:color w:val="323232"/>
          <w:sz w:val="33"/>
        </w:rPr>
        <w:t>IP-guard 15大功能简介</w:t>
      </w:r>
    </w:p>
    <w:p>
      <w:pPr>
        <w:kinsoku/>
        <w:autoSpaceDE/>
        <w:autoSpaceDN w:val="0"/>
        <w:spacing w:line="300" w:lineRule="atLeast"/>
        <w:rPr>
          <w:rFonts w:hint="default" w:ascii="Arial"/>
          <w:snapToGrid/>
          <w:color w:val="323232"/>
          <w:sz w:val="18"/>
        </w:rPr>
      </w:pPr>
      <w:r>
        <w:rPr>
          <w:rFonts w:hint="default" w:ascii="Arial"/>
          <w:snapToGrid/>
          <w:color w:val="323232"/>
          <w:sz w:val="18"/>
        </w:rPr>
        <w:t>IP-guard是一款模块化架构的内网安全管理系统，共包含15项强大的功能。根据实际需求，你可以选择不同的模块进行组合，按需取用更能保证IT投资回报率。</w:t>
      </w:r>
    </w:p>
    <w:p>
      <w:pPr>
        <w:kinsoku/>
        <w:autoSpaceDE/>
        <w:autoSpaceDN w:val="0"/>
        <w:spacing w:line="300" w:lineRule="atLeast"/>
        <w:rPr>
          <w:rFonts w:hint="default" w:ascii="Arial"/>
          <w:snapToGrid/>
          <w:color w:val="323232"/>
          <w:sz w:val="18"/>
        </w:rPr>
      </w:pPr>
      <w:r>
        <w:rPr>
          <w:rFonts w:hint="default" w:ascii="Arial"/>
          <w:snapToGrid/>
          <w:color w:val="323232"/>
          <w:sz w:val="18"/>
        </w:rPr>
        <w:t>通过部署IP-guard，你可以直观了解用户在工作中如何使用计算机、数据和互联网；IP-guard提供的详实报告更能帮助你制定合理的IT策略并付诸实施，防范敏感数据泄漏，引导员工合理使用计算机和互联网，提升IT应用效率。</w:t>
      </w:r>
    </w:p>
    <w:p>
      <w:pPr>
        <w:kinsoku/>
        <w:autoSpaceDE/>
        <w:autoSpaceDN w:val="0"/>
        <w:spacing w:line="300" w:lineRule="atLeast"/>
        <w:rPr>
          <w:rFonts w:hint="eastAsia" w:ascii="Arial"/>
          <w:snapToGrid/>
          <w:color w:val="FF0000"/>
          <w:sz w:val="18"/>
          <w:lang w:eastAsia="zh-CN"/>
        </w:rPr>
      </w:pPr>
      <w:r>
        <w:rPr>
          <w:rFonts w:hint="eastAsia" w:ascii="Arial"/>
          <w:snapToGrid/>
          <w:color w:val="323232"/>
          <w:sz w:val="18"/>
          <w:lang w:eastAsia="zh-CN"/>
        </w:rPr>
        <w:t>１５大功能能模块名细：</w:t>
      </w:r>
      <w:r>
        <w:rPr>
          <w:rFonts w:hint="eastAsia" w:ascii="Arial"/>
          <w:snapToGrid/>
          <w:color w:val="FF0000"/>
          <w:sz w:val="18"/>
          <w:lang w:eastAsia="zh-CN"/>
        </w:rPr>
        <w:t>文档透明加密　文档操作管理　打印管理　即时通讯管理　邮件管理　</w:t>
      </w:r>
    </w:p>
    <w:p>
      <w:pPr>
        <w:kinsoku/>
        <w:autoSpaceDE/>
        <w:autoSpaceDN w:val="0"/>
        <w:spacing w:line="300" w:lineRule="atLeast"/>
        <w:rPr>
          <w:rFonts w:hint="eastAsia" w:ascii="Arial"/>
          <w:snapToGrid/>
          <w:color w:val="FF0000"/>
          <w:sz w:val="18"/>
          <w:lang w:eastAsia="zh-CN"/>
        </w:rPr>
      </w:pPr>
      <w:r>
        <w:rPr>
          <w:rFonts w:hint="eastAsia" w:ascii="Arial"/>
          <w:snapToGrid/>
          <w:color w:val="FF0000"/>
          <w:sz w:val="18"/>
          <w:lang w:eastAsia="zh-CN"/>
        </w:rPr>
        <w:t>　　　　　　　　　　　应用程序管理　网页浏览管理　网络流量管理　网络控制　移动存储管控</w:t>
      </w:r>
    </w:p>
    <w:p>
      <w:pPr>
        <w:kinsoku/>
        <w:autoSpaceDE/>
        <w:autoSpaceDN w:val="0"/>
        <w:spacing w:line="300" w:lineRule="atLeast"/>
        <w:rPr>
          <w:rFonts w:hint="eastAsia" w:ascii="Arial"/>
          <w:snapToGrid/>
          <w:color w:val="FF0000"/>
          <w:sz w:val="18"/>
          <w:lang w:eastAsia="zh-CN"/>
        </w:rPr>
      </w:pPr>
      <w:r>
        <w:rPr>
          <w:rFonts w:hint="eastAsia" w:ascii="Arial"/>
          <w:snapToGrid/>
          <w:color w:val="FF0000"/>
          <w:sz w:val="18"/>
          <w:lang w:eastAsia="zh-CN"/>
        </w:rPr>
        <w:t>　　　　　　　　　　　设备管控　　　屏幕监控　　　资产管理　　　远程管理　　基本功能</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V</w:t>
      </w:r>
      <w:r>
        <w:rPr>
          <w:rFonts w:hint="default" w:ascii="Arial"/>
          <w:b/>
          <w:snapToGrid/>
          <w:color w:val="323232"/>
          <w:sz w:val="33"/>
          <w:vertAlign w:val="superscript"/>
        </w:rPr>
        <w:t>+</w:t>
      </w:r>
      <w:r>
        <w:rPr>
          <w:rFonts w:hint="default" w:ascii="Arial"/>
          <w:b/>
          <w:snapToGrid/>
          <w:color w:val="323232"/>
          <w:sz w:val="33"/>
        </w:rPr>
        <w:t>全向文档加密</w:t>
      </w:r>
    </w:p>
    <w:p>
      <w:pPr>
        <w:kinsoku/>
        <w:autoSpaceDE/>
        <w:autoSpaceDN w:val="0"/>
        <w:spacing w:line="300" w:lineRule="atLeast"/>
        <w:rPr>
          <w:rFonts w:hint="default" w:ascii="Arial"/>
          <w:snapToGrid/>
          <w:color w:val="323232"/>
          <w:sz w:val="18"/>
        </w:rPr>
      </w:pPr>
      <w:r>
        <w:rPr>
          <w:rFonts w:hint="default" w:ascii="Arial"/>
          <w:snapToGrid/>
          <w:color w:val="323232"/>
          <w:sz w:val="18"/>
        </w:rPr>
        <w:t>随着商业竞争的升级，以及新出现的安全挑战，如何保护好已经电子化存储的知识产权、专利技术、客户信息、运营数据等各种机密数据成为企业信息安全工作中所面临的核心挑战。</w:t>
      </w:r>
    </w:p>
    <w:p>
      <w:pPr>
        <w:kinsoku/>
        <w:autoSpaceDE/>
        <w:autoSpaceDN w:val="0"/>
        <w:spacing w:line="300" w:lineRule="atLeast"/>
        <w:rPr>
          <w:rFonts w:hint="default" w:ascii="Arial"/>
          <w:snapToGrid/>
          <w:color w:val="323232"/>
          <w:sz w:val="18"/>
        </w:rPr>
      </w:pPr>
      <w:r>
        <w:rPr>
          <w:rFonts w:hint="default" w:ascii="Arial"/>
          <w:snapToGrid/>
          <w:color w:val="323232"/>
          <w:sz w:val="18"/>
        </w:rPr>
        <w:t>IP-guard V+全向文档加密的出现，就是为了更好的帮助企业保护核心电子信息和数据。它采用高强度的加密算法，将各种格式的电子文档进行透明加密，正常使用时自动解密，非授权使用则是乱码。此外，丰富的权限控制功能也能帮助企业构建更严密的立体保密体系。</w:t>
      </w:r>
    </w:p>
    <w:p>
      <w:pPr>
        <w:numPr>
          <w:ilvl w:val="0"/>
          <w:numId w:val="4"/>
        </w:numPr>
        <w:kinsoku/>
        <w:autoSpaceDE/>
        <w:autoSpaceDN w:val="0"/>
        <w:spacing w:line="330" w:lineRule="atLeast"/>
        <w:rPr>
          <w:rFonts w:hint="default" w:ascii="Arial"/>
          <w:snapToGrid/>
          <w:color w:val="505050"/>
          <w:sz w:val="18"/>
        </w:rPr>
      </w:pPr>
      <w:r>
        <w:rPr>
          <w:rFonts w:hint="default" w:ascii="Arial"/>
          <w:b/>
          <w:snapToGrid/>
          <w:color w:val="323232"/>
          <w:sz w:val="18"/>
        </w:rPr>
        <w:t>高强度的透明加密</w:t>
      </w:r>
      <w:r>
        <w:rPr>
          <w:rFonts w:hint="default" w:ascii="Arial"/>
          <w:snapToGrid/>
          <w:color w:val="505050"/>
          <w:sz w:val="18"/>
        </w:rPr>
        <w:t>采用国际通用的AES、3DES等加密算法，将各种格式的电子文档透明加密，在可信环境中使用自动解密，非可信环境中则无法打开</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在加密文档使用过程中，默认禁止截屏、剪贴、拖拽、打印等操作，严格防范正常使用中泄密</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加密过程完全透明，不影响用户原有使用习惯</w:t>
      </w:r>
    </w:p>
    <w:p>
      <w:pPr>
        <w:numPr>
          <w:ilvl w:val="0"/>
          <w:numId w:val="4"/>
        </w:numPr>
        <w:kinsoku/>
        <w:autoSpaceDE/>
        <w:autoSpaceDN w:val="0"/>
        <w:spacing w:line="330" w:lineRule="atLeast"/>
        <w:rPr>
          <w:rFonts w:hint="default" w:ascii="Arial"/>
          <w:snapToGrid/>
          <w:color w:val="505050"/>
          <w:sz w:val="18"/>
        </w:rPr>
      </w:pPr>
      <w:r>
        <w:rPr>
          <w:rFonts w:hint="default" w:ascii="Arial"/>
          <w:b/>
          <w:snapToGrid/>
          <w:color w:val="323232"/>
          <w:sz w:val="18"/>
        </w:rPr>
        <w:t>灵活的权限控制</w:t>
      </w:r>
      <w:r>
        <w:rPr>
          <w:rFonts w:hint="default" w:ascii="Arial"/>
          <w:snapToGrid/>
          <w:color w:val="505050"/>
          <w:sz w:val="18"/>
        </w:rPr>
        <w:t>采用 “安全区域-安全级别” 二维矩阵式的立体权限机制</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根据文档部门归属与重要程度，将其划分到对应的安全区域和安全级别类别中</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根据用户的角色与工作需要，授予其查看对应的安全区域与安全级别文档的权限</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最终建立 “文档—安全区域+安全级别—用户“ 式的权限控制机制</w:t>
      </w:r>
    </w:p>
    <w:p>
      <w:pPr>
        <w:numPr>
          <w:ilvl w:val="0"/>
          <w:numId w:val="4"/>
        </w:numPr>
        <w:kinsoku/>
        <w:autoSpaceDE/>
        <w:autoSpaceDN w:val="0"/>
        <w:spacing w:line="330" w:lineRule="atLeast"/>
        <w:rPr>
          <w:rFonts w:hint="default" w:ascii="Arial"/>
          <w:snapToGrid/>
          <w:color w:val="505050"/>
          <w:sz w:val="18"/>
        </w:rPr>
      </w:pPr>
      <w:r>
        <w:rPr>
          <w:rFonts w:hint="default" w:ascii="Arial"/>
          <w:b/>
          <w:snapToGrid/>
          <w:color w:val="323232"/>
          <w:sz w:val="18"/>
        </w:rPr>
        <w:t>完备的离线授权</w:t>
      </w:r>
      <w:r>
        <w:rPr>
          <w:rFonts w:hint="default" w:ascii="Arial"/>
          <w:snapToGrid/>
          <w:color w:val="505050"/>
          <w:sz w:val="18"/>
        </w:rPr>
        <w:t>引入离线授权机制，为用户单独设定离线状态下的权限，防范网络故障等意外情况</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为出差、在家工作等特殊的离线情况设定单独的加密文档使用权限，除普通的使用权限外，还能对离线有效时间、延期申请等有特别规定</w:t>
      </w:r>
    </w:p>
    <w:p>
      <w:pPr>
        <w:numPr>
          <w:ilvl w:val="0"/>
          <w:numId w:val="4"/>
        </w:numPr>
        <w:kinsoku/>
        <w:autoSpaceDE/>
        <w:autoSpaceDN w:val="0"/>
        <w:spacing w:line="330" w:lineRule="atLeast"/>
        <w:rPr>
          <w:rFonts w:hint="default" w:ascii="Arial"/>
          <w:snapToGrid/>
          <w:color w:val="505050"/>
          <w:sz w:val="18"/>
        </w:rPr>
      </w:pPr>
      <w:r>
        <w:rPr>
          <w:rFonts w:hint="default" w:ascii="Arial"/>
          <w:b/>
          <w:snapToGrid/>
          <w:color w:val="323232"/>
          <w:sz w:val="18"/>
        </w:rPr>
        <w:t>周全的文档外发保护</w:t>
      </w:r>
      <w:r>
        <w:rPr>
          <w:rFonts w:hint="default" w:ascii="Arial"/>
          <w:snapToGrid/>
          <w:color w:val="505050"/>
          <w:sz w:val="18"/>
        </w:rPr>
        <w:t>为代理商、合作伙伴等提供外发文档查看器，可以灵活的控制已经外发的文档的使用权限，防止二次扩散</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普通用户外发加密文档或需要解密文档时，需要提交管理员审批</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提供了代理管理员审批机制，让审批更高效</w:t>
      </w:r>
    </w:p>
    <w:p>
      <w:pPr>
        <w:numPr>
          <w:ilvl w:val="0"/>
          <w:numId w:val="4"/>
        </w:numPr>
        <w:kinsoku/>
        <w:autoSpaceDE/>
        <w:autoSpaceDN w:val="0"/>
        <w:spacing w:line="330" w:lineRule="atLeast"/>
        <w:rPr>
          <w:rFonts w:hint="default" w:ascii="Arial"/>
          <w:snapToGrid/>
          <w:color w:val="505050"/>
          <w:sz w:val="18"/>
        </w:rPr>
      </w:pPr>
      <w:r>
        <w:rPr>
          <w:rFonts w:hint="default" w:ascii="Arial"/>
          <w:b/>
          <w:snapToGrid/>
          <w:color w:val="323232"/>
          <w:sz w:val="18"/>
        </w:rPr>
        <w:t>完整的文档操作审计</w:t>
      </w:r>
      <w:r>
        <w:rPr>
          <w:rFonts w:hint="default" w:ascii="Arial"/>
          <w:snapToGrid/>
          <w:color w:val="505050"/>
          <w:sz w:val="18"/>
        </w:rPr>
        <w:t>审计所有的加/解密、外发/审批等操作</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结合IP-guard文档操作管控审计所有的文档操作</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对解密、外发等风险操作中的文档进行完整的备份</w:t>
      </w:r>
    </w:p>
    <w:p>
      <w:pPr>
        <w:numPr>
          <w:ilvl w:val="0"/>
          <w:numId w:val="4"/>
        </w:numPr>
        <w:kinsoku/>
        <w:autoSpaceDE/>
        <w:autoSpaceDN w:val="0"/>
        <w:spacing w:line="330" w:lineRule="atLeast"/>
        <w:rPr>
          <w:rFonts w:hint="default" w:ascii="Arial"/>
          <w:snapToGrid/>
          <w:color w:val="505050"/>
          <w:sz w:val="18"/>
        </w:rPr>
      </w:pPr>
      <w:r>
        <w:rPr>
          <w:rFonts w:hint="default" w:ascii="Arial"/>
          <w:b/>
          <w:snapToGrid/>
          <w:color w:val="323232"/>
          <w:sz w:val="18"/>
        </w:rPr>
        <w:t>必要的服务稳定性保证</w:t>
      </w:r>
      <w:r>
        <w:rPr>
          <w:rFonts w:hint="default" w:ascii="Arial"/>
          <w:snapToGrid/>
          <w:color w:val="505050"/>
          <w:sz w:val="18"/>
        </w:rPr>
        <w:t>引入备用授权服务器机制以保证主授权服务器崩溃时正常的授权操作</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引入文档备份服务器，在服务器上明文备份所有加密文档，防范最坏的意外情况</w:t>
      </w:r>
    </w:p>
    <w:p>
      <w:pPr>
        <w:numPr>
          <w:ilvl w:val="0"/>
          <w:numId w:val="4"/>
        </w:numPr>
        <w:kinsoku/>
        <w:autoSpaceDE/>
        <w:autoSpaceDN w:val="0"/>
        <w:spacing w:line="330" w:lineRule="atLeast"/>
        <w:rPr>
          <w:rFonts w:hint="default" w:ascii="Arial"/>
          <w:snapToGrid/>
          <w:color w:val="505050"/>
          <w:sz w:val="18"/>
        </w:rPr>
      </w:pPr>
      <w:r>
        <w:rPr>
          <w:rFonts w:hint="default" w:ascii="Arial"/>
          <w:snapToGrid/>
          <w:color w:val="505050"/>
          <w:sz w:val="18"/>
        </w:rPr>
        <w:t>应用虚拟计算技术确保文档在加密过程中不会因为断电、死机等意外情况损坏</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文档操作管控</w:t>
      </w:r>
    </w:p>
    <w:p>
      <w:pPr>
        <w:kinsoku/>
        <w:autoSpaceDE/>
        <w:autoSpaceDN w:val="0"/>
        <w:spacing w:line="300" w:lineRule="atLeast"/>
        <w:rPr>
          <w:rFonts w:hint="default" w:ascii="Arial"/>
          <w:snapToGrid/>
          <w:color w:val="323232"/>
          <w:sz w:val="18"/>
        </w:rPr>
      </w:pPr>
      <w:r>
        <w:rPr>
          <w:rFonts w:hint="default" w:ascii="Arial"/>
          <w:snapToGrid/>
          <w:color w:val="323232"/>
          <w:sz w:val="18"/>
        </w:rPr>
        <w:t>IP-guard文档操作管控功能可以有效地保护终端、文档服务器等各种位置的文档的应用安全，防范非法的文档访问、修改、删除、复制等危险行为的发生，杜绝文档损失与泄漏风险；同时，详细的文档操作行为审计可以记录下一切文档使用行为。当风险操作发生时，完善的备份机制还能进一步保护机密文档的安全。</w:t>
      </w:r>
    </w:p>
    <w:p>
      <w:pPr>
        <w:numPr>
          <w:ilvl w:val="0"/>
          <w:numId w:val="5"/>
        </w:numPr>
        <w:kinsoku/>
        <w:autoSpaceDE/>
        <w:autoSpaceDN w:val="0"/>
        <w:spacing w:line="330" w:lineRule="atLeast"/>
        <w:rPr>
          <w:rFonts w:hint="default" w:ascii="Arial"/>
          <w:snapToGrid/>
          <w:color w:val="505050"/>
          <w:sz w:val="18"/>
        </w:rPr>
      </w:pPr>
      <w:r>
        <w:rPr>
          <w:rFonts w:hint="default" w:ascii="Arial"/>
          <w:b/>
          <w:snapToGrid/>
          <w:color w:val="323232"/>
          <w:sz w:val="18"/>
        </w:rPr>
        <w:t>文档使用管控</w:t>
      </w:r>
      <w:r>
        <w:rPr>
          <w:rFonts w:hint="default" w:ascii="Arial"/>
          <w:snapToGrid/>
          <w:color w:val="505050"/>
          <w:sz w:val="18"/>
        </w:rPr>
        <w:t>控制用户对各种位置的文档的使用权限，包括访问、修改、删除等</w:t>
      </w:r>
    </w:p>
    <w:p>
      <w:pPr>
        <w:numPr>
          <w:ilvl w:val="0"/>
          <w:numId w:val="5"/>
        </w:numPr>
        <w:kinsoku/>
        <w:autoSpaceDE/>
        <w:autoSpaceDN w:val="0"/>
        <w:spacing w:line="330" w:lineRule="atLeast"/>
        <w:rPr>
          <w:rFonts w:hint="default" w:ascii="Arial"/>
          <w:snapToGrid/>
          <w:color w:val="505050"/>
          <w:sz w:val="18"/>
        </w:rPr>
      </w:pPr>
      <w:r>
        <w:rPr>
          <w:rFonts w:hint="default" w:ascii="Arial"/>
          <w:b/>
          <w:snapToGrid/>
          <w:color w:val="323232"/>
          <w:sz w:val="18"/>
        </w:rPr>
        <w:t>文档操作审计</w:t>
      </w:r>
      <w:r>
        <w:rPr>
          <w:rFonts w:hint="default" w:ascii="Arial"/>
          <w:snapToGrid/>
          <w:color w:val="505050"/>
          <w:sz w:val="18"/>
        </w:rPr>
        <w:t>完整记录各种文档操作，包括创建、访问、修改、删除、复制、上传、下载等信息</w:t>
      </w:r>
    </w:p>
    <w:p>
      <w:pPr>
        <w:numPr>
          <w:ilvl w:val="0"/>
          <w:numId w:val="5"/>
        </w:numPr>
        <w:kinsoku/>
        <w:autoSpaceDE/>
        <w:autoSpaceDN w:val="0"/>
        <w:spacing w:line="330" w:lineRule="atLeast"/>
        <w:rPr>
          <w:rFonts w:hint="default" w:ascii="Arial"/>
          <w:snapToGrid/>
          <w:color w:val="505050"/>
          <w:sz w:val="18"/>
        </w:rPr>
      </w:pPr>
      <w:r>
        <w:rPr>
          <w:rFonts w:hint="default" w:ascii="Arial"/>
          <w:snapToGrid/>
          <w:color w:val="505050"/>
          <w:sz w:val="18"/>
        </w:rPr>
        <w:t>支持记录包括本地硬盘、网络盘、可移动存储等各种位置的文档操作详情</w:t>
      </w:r>
    </w:p>
    <w:p>
      <w:pPr>
        <w:numPr>
          <w:ilvl w:val="0"/>
          <w:numId w:val="5"/>
        </w:numPr>
        <w:kinsoku/>
        <w:autoSpaceDE/>
        <w:autoSpaceDN w:val="0"/>
        <w:spacing w:line="330" w:lineRule="atLeast"/>
        <w:rPr>
          <w:rFonts w:hint="default" w:ascii="Arial"/>
          <w:snapToGrid/>
          <w:color w:val="505050"/>
          <w:sz w:val="18"/>
        </w:rPr>
      </w:pPr>
      <w:r>
        <w:rPr>
          <w:rFonts w:hint="default" w:ascii="Arial"/>
          <w:snapToGrid/>
          <w:color w:val="505050"/>
          <w:sz w:val="18"/>
        </w:rPr>
        <w:t>可以按多种参数进行日志查询</w:t>
      </w:r>
    </w:p>
    <w:p>
      <w:pPr>
        <w:numPr>
          <w:ilvl w:val="0"/>
          <w:numId w:val="5"/>
        </w:numPr>
        <w:kinsoku/>
        <w:autoSpaceDE/>
        <w:autoSpaceDN w:val="0"/>
        <w:spacing w:line="330" w:lineRule="atLeast"/>
        <w:rPr>
          <w:rFonts w:hint="default" w:ascii="Arial"/>
          <w:snapToGrid/>
          <w:color w:val="505050"/>
          <w:sz w:val="18"/>
        </w:rPr>
      </w:pPr>
      <w:r>
        <w:rPr>
          <w:rFonts w:hint="default" w:ascii="Arial"/>
          <w:b/>
          <w:snapToGrid/>
          <w:color w:val="323232"/>
          <w:sz w:val="18"/>
        </w:rPr>
        <w:t>文档备份机制</w:t>
      </w:r>
      <w:r>
        <w:rPr>
          <w:rFonts w:hint="default" w:ascii="Arial"/>
          <w:snapToGrid/>
          <w:color w:val="505050"/>
          <w:sz w:val="18"/>
        </w:rPr>
        <w:t>在文档被非法访问、修改、删除、复制时及时进行备份，防止文档损失，同时留存证据</w:t>
      </w:r>
    </w:p>
    <w:p>
      <w:pPr>
        <w:numPr>
          <w:ilvl w:val="0"/>
          <w:numId w:val="5"/>
        </w:numPr>
        <w:kinsoku/>
        <w:autoSpaceDE/>
        <w:autoSpaceDN w:val="0"/>
        <w:spacing w:line="330" w:lineRule="atLeast"/>
        <w:rPr>
          <w:rFonts w:hint="default" w:ascii="Arial"/>
          <w:snapToGrid/>
          <w:color w:val="505050"/>
          <w:sz w:val="18"/>
        </w:rPr>
      </w:pPr>
      <w:r>
        <w:rPr>
          <w:rFonts w:hint="default" w:ascii="Arial"/>
          <w:b/>
          <w:snapToGrid/>
          <w:color w:val="323232"/>
          <w:sz w:val="18"/>
        </w:rPr>
        <w:t>实时报警与阻断</w:t>
      </w:r>
      <w:r>
        <w:rPr>
          <w:rFonts w:hint="default" w:ascii="Arial"/>
          <w:snapToGrid/>
          <w:color w:val="505050"/>
          <w:sz w:val="18"/>
        </w:rPr>
        <w:t>当非法的文档操作行为发生时，在控制台即时弹出气泡告知管理员</w:t>
      </w:r>
    </w:p>
    <w:p>
      <w:pPr>
        <w:numPr>
          <w:ilvl w:val="0"/>
          <w:numId w:val="5"/>
        </w:numPr>
        <w:kinsoku/>
        <w:autoSpaceDE/>
        <w:autoSpaceDN w:val="0"/>
        <w:spacing w:line="330" w:lineRule="atLeast"/>
        <w:rPr>
          <w:rFonts w:hint="default" w:ascii="Arial"/>
          <w:snapToGrid/>
          <w:color w:val="505050"/>
          <w:sz w:val="18"/>
        </w:rPr>
      </w:pPr>
      <w:r>
        <w:rPr>
          <w:rFonts w:hint="default" w:ascii="Arial"/>
          <w:snapToGrid/>
          <w:color w:val="505050"/>
          <w:sz w:val="18"/>
        </w:rPr>
        <w:t>阻断非法操作行为甚至锁定计算机</w:t>
      </w:r>
    </w:p>
    <w:p>
      <w:pPr>
        <w:numPr>
          <w:ilvl w:val="0"/>
          <w:numId w:val="5"/>
        </w:numPr>
        <w:kinsoku/>
        <w:autoSpaceDE/>
        <w:autoSpaceDN w:val="0"/>
        <w:spacing w:line="330" w:lineRule="atLeast"/>
        <w:rPr>
          <w:rFonts w:hint="default" w:ascii="Arial"/>
          <w:snapToGrid/>
          <w:color w:val="505050"/>
          <w:sz w:val="18"/>
        </w:rPr>
      </w:pPr>
      <w:r>
        <w:rPr>
          <w:rFonts w:hint="default" w:ascii="Arial"/>
          <w:snapToGrid/>
          <w:color w:val="505050"/>
          <w:sz w:val="18"/>
        </w:rPr>
        <w:t>在用户桌面弹出警告消息</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文档打印管控</w:t>
      </w:r>
    </w:p>
    <w:p>
      <w:pPr>
        <w:kinsoku/>
        <w:autoSpaceDE/>
        <w:autoSpaceDN w:val="0"/>
        <w:spacing w:line="300" w:lineRule="atLeast"/>
        <w:rPr>
          <w:rFonts w:hint="default" w:ascii="Arial"/>
          <w:snapToGrid/>
          <w:color w:val="323232"/>
          <w:sz w:val="18"/>
        </w:rPr>
      </w:pPr>
      <w:r>
        <w:rPr>
          <w:rFonts w:hint="default" w:ascii="Arial"/>
          <w:snapToGrid/>
          <w:color w:val="323232"/>
          <w:sz w:val="18"/>
        </w:rPr>
        <w:t>作为文档传播的一种途径，不受控制的打印操作同样存在信息泄漏的可能性。得不到有效监管的打印行为，已经成为客户信息、市场计划、专利技术等机密信息泄漏的重要渠道，甚至有不法分子专门在各大公司的打印废料中收集机密信息以谋取利益。</w:t>
      </w:r>
    </w:p>
    <w:p>
      <w:pPr>
        <w:kinsoku/>
        <w:autoSpaceDE/>
        <w:autoSpaceDN w:val="0"/>
        <w:spacing w:line="300" w:lineRule="atLeast"/>
        <w:rPr>
          <w:rFonts w:hint="default" w:ascii="Arial"/>
          <w:snapToGrid/>
          <w:color w:val="323232"/>
          <w:sz w:val="18"/>
        </w:rPr>
      </w:pPr>
      <w:r>
        <w:rPr>
          <w:rFonts w:hint="default" w:ascii="Arial"/>
          <w:snapToGrid/>
          <w:color w:val="323232"/>
          <w:sz w:val="18"/>
        </w:rPr>
        <w:t>IP-guard文档打印管控功能，可以有效的控制用户的文档打印权限，同时完整的记录全部的打印操作行为，甚至是打印内容本身。防范打印泄密的同时，还能减少非必要的打印行为，节约成本。</w:t>
      </w:r>
    </w:p>
    <w:p>
      <w:pPr>
        <w:numPr>
          <w:ilvl w:val="0"/>
          <w:numId w:val="6"/>
        </w:numPr>
        <w:kinsoku/>
        <w:autoSpaceDE/>
        <w:autoSpaceDN w:val="0"/>
        <w:spacing w:line="330" w:lineRule="atLeast"/>
        <w:rPr>
          <w:rFonts w:hint="default" w:ascii="Arial"/>
          <w:snapToGrid/>
          <w:color w:val="505050"/>
          <w:sz w:val="18"/>
        </w:rPr>
      </w:pPr>
      <w:r>
        <w:rPr>
          <w:rFonts w:hint="default" w:ascii="Arial"/>
          <w:b/>
          <w:snapToGrid/>
          <w:color w:val="323232"/>
          <w:sz w:val="18"/>
        </w:rPr>
        <w:t>打印权限控制</w:t>
      </w:r>
      <w:r>
        <w:rPr>
          <w:rFonts w:hint="default" w:ascii="Arial"/>
          <w:snapToGrid/>
          <w:color w:val="505050"/>
          <w:sz w:val="18"/>
        </w:rPr>
        <w:t>控制指定用户能否进行打印操作，可以打印的应用程序，以及能够使用的具体打印机</w:t>
      </w:r>
    </w:p>
    <w:p>
      <w:pPr>
        <w:numPr>
          <w:ilvl w:val="0"/>
          <w:numId w:val="6"/>
        </w:numPr>
        <w:kinsoku/>
        <w:autoSpaceDE/>
        <w:autoSpaceDN w:val="0"/>
        <w:spacing w:line="330" w:lineRule="atLeast"/>
        <w:rPr>
          <w:rFonts w:hint="default" w:ascii="Arial"/>
          <w:snapToGrid/>
          <w:color w:val="505050"/>
          <w:sz w:val="18"/>
        </w:rPr>
      </w:pPr>
      <w:r>
        <w:rPr>
          <w:rFonts w:hint="default" w:ascii="Arial"/>
          <w:b/>
          <w:snapToGrid/>
          <w:color w:val="323232"/>
          <w:sz w:val="18"/>
        </w:rPr>
        <w:t>打印内容备份</w:t>
      </w:r>
      <w:r>
        <w:rPr>
          <w:rFonts w:hint="default" w:ascii="Arial"/>
          <w:snapToGrid/>
          <w:color w:val="505050"/>
          <w:sz w:val="18"/>
        </w:rPr>
        <w:t>以JPEG图片格式记录所有的打印内容</w:t>
      </w:r>
    </w:p>
    <w:p>
      <w:pPr>
        <w:numPr>
          <w:ilvl w:val="0"/>
          <w:numId w:val="6"/>
        </w:numPr>
        <w:kinsoku/>
        <w:autoSpaceDE/>
        <w:autoSpaceDN w:val="0"/>
        <w:spacing w:line="330" w:lineRule="atLeast"/>
        <w:rPr>
          <w:rFonts w:hint="default" w:ascii="Arial"/>
          <w:snapToGrid/>
          <w:color w:val="505050"/>
          <w:sz w:val="18"/>
        </w:rPr>
      </w:pPr>
      <w:r>
        <w:rPr>
          <w:rFonts w:hint="default" w:ascii="Arial"/>
          <w:b/>
          <w:snapToGrid/>
          <w:color w:val="323232"/>
          <w:sz w:val="18"/>
        </w:rPr>
        <w:t>打印日志审计</w:t>
      </w:r>
      <w:r>
        <w:rPr>
          <w:rFonts w:hint="default" w:ascii="Arial"/>
          <w:snapToGrid/>
          <w:color w:val="505050"/>
          <w:sz w:val="18"/>
        </w:rPr>
        <w:t>记录完整的打印操作信息，包括打印机名、计算机、用户、文件、标题、应用程序、页数等</w:t>
      </w:r>
    </w:p>
    <w:p>
      <w:pPr>
        <w:numPr>
          <w:ilvl w:val="0"/>
          <w:numId w:val="6"/>
        </w:numPr>
        <w:kinsoku/>
        <w:autoSpaceDE/>
        <w:autoSpaceDN w:val="0"/>
        <w:spacing w:line="330" w:lineRule="atLeast"/>
        <w:rPr>
          <w:rFonts w:hint="default" w:ascii="Arial"/>
          <w:snapToGrid/>
          <w:color w:val="505050"/>
          <w:sz w:val="18"/>
        </w:rPr>
      </w:pPr>
      <w:r>
        <w:rPr>
          <w:rFonts w:hint="default" w:ascii="Arial"/>
          <w:snapToGrid/>
          <w:color w:val="505050"/>
          <w:sz w:val="18"/>
        </w:rPr>
        <w:t>支持按上述参数查询打印操作</w:t>
      </w:r>
    </w:p>
    <w:p>
      <w:pPr>
        <w:numPr>
          <w:ilvl w:val="0"/>
          <w:numId w:val="6"/>
        </w:numPr>
        <w:kinsoku/>
        <w:autoSpaceDE/>
        <w:autoSpaceDN w:val="0"/>
        <w:spacing w:line="330" w:lineRule="atLeast"/>
        <w:rPr>
          <w:rFonts w:hint="default" w:ascii="Arial"/>
          <w:snapToGrid/>
          <w:color w:val="505050"/>
          <w:sz w:val="18"/>
        </w:rPr>
      </w:pPr>
      <w:r>
        <w:rPr>
          <w:rFonts w:hint="default" w:ascii="Arial"/>
          <w:b/>
          <w:snapToGrid/>
          <w:color w:val="323232"/>
          <w:sz w:val="18"/>
        </w:rPr>
        <w:t>实时报警与警告</w:t>
      </w:r>
      <w:r>
        <w:rPr>
          <w:rFonts w:hint="default" w:ascii="Arial"/>
          <w:snapToGrid/>
          <w:color w:val="505050"/>
          <w:sz w:val="18"/>
        </w:rPr>
        <w:t>用户进行非法打印操作时在控制台即时弹出气泡告知管理员</w:t>
      </w:r>
    </w:p>
    <w:p>
      <w:pPr>
        <w:numPr>
          <w:ilvl w:val="0"/>
          <w:numId w:val="6"/>
        </w:numPr>
        <w:kinsoku/>
        <w:autoSpaceDE/>
        <w:autoSpaceDN w:val="0"/>
        <w:spacing w:line="330" w:lineRule="atLeast"/>
        <w:rPr>
          <w:rFonts w:hint="default" w:ascii="Arial"/>
          <w:snapToGrid/>
          <w:color w:val="505050"/>
          <w:sz w:val="18"/>
        </w:rPr>
      </w:pPr>
      <w:r>
        <w:rPr>
          <w:rFonts w:hint="default" w:ascii="Arial"/>
          <w:snapToGrid/>
          <w:color w:val="505050"/>
          <w:sz w:val="18"/>
        </w:rPr>
        <w:t>在用户端弹出窗口进行警告/li&gt;</w:t>
      </w:r>
    </w:p>
    <w:p>
      <w:pPr>
        <w:numPr>
          <w:ilvl w:val="0"/>
          <w:numId w:val="6"/>
        </w:numPr>
        <w:kinsoku/>
        <w:autoSpaceDE/>
        <w:autoSpaceDN w:val="0"/>
        <w:spacing w:line="330" w:lineRule="atLeast"/>
        <w:rPr>
          <w:rFonts w:hint="default" w:ascii="Arial"/>
          <w:snapToGrid/>
          <w:color w:val="505050"/>
          <w:sz w:val="18"/>
        </w:rPr>
      </w:pPr>
      <w:r>
        <w:rPr>
          <w:rFonts w:hint="default" w:ascii="Arial"/>
          <w:snapToGrid/>
          <w:color w:val="505050"/>
          <w:sz w:val="18"/>
        </w:rPr>
        <w:t>必要时阻断非法打印操作并锁定计算机</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设备管控</w:t>
      </w:r>
    </w:p>
    <w:p>
      <w:pPr>
        <w:kinsoku/>
        <w:autoSpaceDE/>
        <w:autoSpaceDN w:val="0"/>
        <w:spacing w:line="300" w:lineRule="atLeast"/>
        <w:rPr>
          <w:rFonts w:hint="default" w:ascii="Arial"/>
          <w:snapToGrid/>
          <w:color w:val="323232"/>
          <w:sz w:val="18"/>
        </w:rPr>
      </w:pPr>
      <w:r>
        <w:rPr>
          <w:rFonts w:hint="default" w:ascii="Arial"/>
          <w:snapToGrid/>
          <w:color w:val="323232"/>
          <w:sz w:val="18"/>
        </w:rPr>
        <w:t>移动存储、蓝牙、智能移动设备、无线网卡等各种计算机外部设备的普及，大大提高了信息交换的效率，但同时也带来了更多的信息泄漏渠道。</w:t>
      </w:r>
    </w:p>
    <w:p>
      <w:pPr>
        <w:kinsoku/>
        <w:autoSpaceDE/>
        <w:autoSpaceDN w:val="0"/>
        <w:spacing w:line="300" w:lineRule="atLeast"/>
        <w:rPr>
          <w:rFonts w:hint="default" w:ascii="Arial"/>
          <w:snapToGrid/>
          <w:color w:val="323232"/>
          <w:sz w:val="18"/>
        </w:rPr>
      </w:pPr>
      <w:r>
        <w:rPr>
          <w:rFonts w:hint="default" w:ascii="Arial"/>
          <w:snapToGrid/>
          <w:color w:val="323232"/>
          <w:sz w:val="18"/>
        </w:rPr>
        <w:t>IP-guard设备管控功能，可以让你为种类繁多的外部设备分别设定应用策略，方便必要的信息交换的同时，大大减少信息外泄的隐患。</w:t>
      </w:r>
    </w:p>
    <w:p>
      <w:pPr>
        <w:numPr>
          <w:ilvl w:val="0"/>
          <w:numId w:val="7"/>
        </w:numPr>
        <w:kinsoku/>
        <w:autoSpaceDE/>
        <w:autoSpaceDN w:val="0"/>
        <w:spacing w:line="330" w:lineRule="atLeast"/>
        <w:rPr>
          <w:rFonts w:hint="default" w:ascii="Arial"/>
          <w:snapToGrid/>
          <w:color w:val="505050"/>
          <w:sz w:val="18"/>
        </w:rPr>
      </w:pPr>
      <w:r>
        <w:rPr>
          <w:rFonts w:hint="default" w:ascii="Arial"/>
          <w:b/>
          <w:snapToGrid/>
          <w:color w:val="323232"/>
          <w:sz w:val="18"/>
        </w:rPr>
        <w:t>外部设备应用管理</w:t>
      </w:r>
      <w:r>
        <w:rPr>
          <w:rFonts w:hint="default" w:ascii="Arial"/>
          <w:snapToGrid/>
          <w:color w:val="505050"/>
          <w:sz w:val="18"/>
        </w:rPr>
        <w:t>为多种类别的计算机外部设备配置使用权限</w:t>
      </w:r>
    </w:p>
    <w:p>
      <w:pPr>
        <w:numPr>
          <w:ilvl w:val="0"/>
          <w:numId w:val="7"/>
        </w:numPr>
        <w:kinsoku/>
        <w:autoSpaceDE/>
        <w:autoSpaceDN w:val="0"/>
        <w:spacing w:line="330" w:lineRule="atLeast"/>
        <w:rPr>
          <w:rFonts w:hint="default" w:ascii="Arial"/>
          <w:snapToGrid/>
          <w:color w:val="505050"/>
          <w:sz w:val="18"/>
        </w:rPr>
      </w:pPr>
      <w:r>
        <w:rPr>
          <w:rFonts w:hint="default" w:ascii="Arial"/>
          <w:snapToGrid/>
          <w:color w:val="505050"/>
          <w:sz w:val="18"/>
        </w:rPr>
        <w:t>为同样接口的不同设备分别配备使用权限，如允许使用USB键鼠，但不允许使用USB光驱</w:t>
      </w:r>
    </w:p>
    <w:p>
      <w:pPr>
        <w:numPr>
          <w:ilvl w:val="0"/>
          <w:numId w:val="7"/>
        </w:numPr>
        <w:kinsoku/>
        <w:autoSpaceDE/>
        <w:autoSpaceDN w:val="0"/>
        <w:spacing w:line="330" w:lineRule="atLeast"/>
        <w:rPr>
          <w:rFonts w:hint="default" w:ascii="Arial"/>
          <w:snapToGrid/>
          <w:color w:val="505050"/>
          <w:sz w:val="18"/>
        </w:rPr>
      </w:pPr>
      <w:r>
        <w:rPr>
          <w:rFonts w:hint="default" w:ascii="Arial"/>
          <w:b/>
          <w:snapToGrid/>
          <w:color w:val="323232"/>
          <w:sz w:val="18"/>
        </w:rPr>
        <w:t>IP-guard可以控制的外部设备列表</w:t>
      </w:r>
      <w:r>
        <w:rPr>
          <w:rFonts w:hint="default" w:ascii="Arial"/>
          <w:snapToGrid/>
          <w:color w:val="505050"/>
          <w:sz w:val="18"/>
        </w:rPr>
        <w:t>存储设备：软/光盘、刻录机、磁带，可移动存储设备等</w:t>
      </w:r>
    </w:p>
    <w:p>
      <w:pPr>
        <w:numPr>
          <w:ilvl w:val="0"/>
          <w:numId w:val="7"/>
        </w:numPr>
        <w:kinsoku/>
        <w:autoSpaceDE/>
        <w:autoSpaceDN w:val="0"/>
        <w:spacing w:line="330" w:lineRule="atLeast"/>
        <w:rPr>
          <w:rFonts w:hint="default" w:ascii="Arial"/>
          <w:snapToGrid/>
          <w:color w:val="505050"/>
          <w:sz w:val="18"/>
        </w:rPr>
      </w:pPr>
      <w:r>
        <w:rPr>
          <w:rFonts w:hint="default" w:ascii="Arial"/>
          <w:snapToGrid/>
          <w:color w:val="505050"/>
          <w:sz w:val="18"/>
        </w:rPr>
        <w:t>通讯设备：串/并口、SCSI、1394、蓝牙、红外线、MODEM、直接对联线等</w:t>
      </w:r>
    </w:p>
    <w:p>
      <w:pPr>
        <w:numPr>
          <w:ilvl w:val="0"/>
          <w:numId w:val="7"/>
        </w:numPr>
        <w:kinsoku/>
        <w:autoSpaceDE/>
        <w:autoSpaceDN w:val="0"/>
        <w:spacing w:line="330" w:lineRule="atLeast"/>
        <w:rPr>
          <w:rFonts w:hint="default" w:ascii="Arial"/>
          <w:snapToGrid/>
          <w:color w:val="505050"/>
          <w:sz w:val="18"/>
        </w:rPr>
      </w:pPr>
      <w:r>
        <w:rPr>
          <w:rFonts w:hint="default" w:ascii="Arial"/>
          <w:snapToGrid/>
          <w:color w:val="505050"/>
          <w:sz w:val="18"/>
        </w:rPr>
        <w:t>USB设备：USB 键盘、鼠标、MODEM、映像设备、存储、光驱、硬盘和其他USB设备</w:t>
      </w:r>
    </w:p>
    <w:p>
      <w:pPr>
        <w:numPr>
          <w:ilvl w:val="0"/>
          <w:numId w:val="7"/>
        </w:numPr>
        <w:kinsoku/>
        <w:autoSpaceDE/>
        <w:autoSpaceDN w:val="0"/>
        <w:spacing w:line="330" w:lineRule="atLeast"/>
        <w:rPr>
          <w:rFonts w:hint="default" w:ascii="Arial"/>
          <w:snapToGrid/>
          <w:color w:val="505050"/>
          <w:sz w:val="18"/>
        </w:rPr>
      </w:pPr>
      <w:r>
        <w:rPr>
          <w:rFonts w:hint="default" w:ascii="Arial"/>
          <w:snapToGrid/>
          <w:color w:val="505050"/>
          <w:sz w:val="18"/>
        </w:rPr>
        <w:t>网络设备：无线网卡、即插即用网卡、虚拟网卡等</w:t>
      </w:r>
    </w:p>
    <w:p>
      <w:pPr>
        <w:numPr>
          <w:ilvl w:val="0"/>
          <w:numId w:val="7"/>
        </w:numPr>
        <w:kinsoku/>
        <w:autoSpaceDE/>
        <w:autoSpaceDN w:val="0"/>
        <w:spacing w:line="330" w:lineRule="atLeast"/>
        <w:rPr>
          <w:rFonts w:hint="default" w:ascii="Arial"/>
          <w:snapToGrid/>
          <w:color w:val="505050"/>
          <w:sz w:val="18"/>
        </w:rPr>
      </w:pPr>
      <w:r>
        <w:rPr>
          <w:rFonts w:hint="default" w:ascii="Arial"/>
          <w:snapToGrid/>
          <w:color w:val="505050"/>
          <w:sz w:val="18"/>
        </w:rPr>
        <w:t>其他设备：声音设备、虚拟光驱等</w:t>
      </w:r>
    </w:p>
    <w:p>
      <w:pPr>
        <w:numPr>
          <w:ilvl w:val="0"/>
          <w:numId w:val="7"/>
        </w:numPr>
        <w:kinsoku/>
        <w:autoSpaceDE/>
        <w:autoSpaceDN w:val="0"/>
        <w:spacing w:line="330" w:lineRule="atLeast"/>
        <w:rPr>
          <w:rFonts w:hint="default" w:ascii="Arial"/>
          <w:snapToGrid/>
          <w:color w:val="505050"/>
          <w:sz w:val="18"/>
        </w:rPr>
      </w:pPr>
      <w:r>
        <w:rPr>
          <w:rFonts w:hint="default" w:ascii="Arial"/>
          <w:snapToGrid/>
          <w:color w:val="505050"/>
          <w:sz w:val="18"/>
        </w:rPr>
        <w:t>禁止任何新增加的设备。</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即时通讯管控</w:t>
      </w:r>
    </w:p>
    <w:p>
      <w:pPr>
        <w:kinsoku/>
        <w:autoSpaceDE/>
        <w:autoSpaceDN w:val="0"/>
        <w:spacing w:line="300" w:lineRule="atLeast"/>
        <w:rPr>
          <w:rFonts w:hint="default" w:ascii="Arial"/>
          <w:snapToGrid/>
          <w:color w:val="323232"/>
          <w:sz w:val="18"/>
        </w:rPr>
      </w:pPr>
      <w:r>
        <w:rPr>
          <w:rFonts w:hint="default" w:ascii="Arial"/>
          <w:snapToGrid/>
          <w:color w:val="323232"/>
          <w:sz w:val="18"/>
        </w:rPr>
        <w:t>QQ、MSN、飞信等即时通讯工具的广泛应用，使得用户间的即时沟通更加方便高效，但同时也暴露了另外一种信息泄漏渠道，用户可能在即时沟通中泄漏机密信息，或发送包含机密信息的文档；过多的私人聊天，还可能降低用户的工作效率。</w:t>
      </w:r>
    </w:p>
    <w:p>
      <w:pPr>
        <w:kinsoku/>
        <w:autoSpaceDE/>
        <w:autoSpaceDN w:val="0"/>
        <w:spacing w:line="300" w:lineRule="atLeast"/>
        <w:rPr>
          <w:rFonts w:hint="default" w:ascii="Arial"/>
          <w:snapToGrid/>
          <w:color w:val="323232"/>
          <w:sz w:val="18"/>
        </w:rPr>
      </w:pPr>
      <w:r>
        <w:rPr>
          <w:rFonts w:hint="default" w:ascii="Arial"/>
          <w:snapToGrid/>
          <w:color w:val="323232"/>
          <w:sz w:val="18"/>
        </w:rPr>
        <w:t>IP-guard即时通讯管控功能，可以完整地记录大部分主流即时通讯工具的聊天内容，备份通过这些工具传送的文档，以方便管理人员在必要时进行审计。同时，它还可以阻止用户经由IM工具外发机密文档，从而有效地防止机密信息经由IM泄漏。</w:t>
      </w:r>
    </w:p>
    <w:p>
      <w:pPr>
        <w:kinsoku/>
        <w:autoSpaceDE/>
        <w:autoSpaceDN w:val="0"/>
        <w:spacing w:line="300" w:lineRule="atLeast"/>
        <w:rPr>
          <w:rFonts w:hint="default" w:ascii="Arial"/>
          <w:snapToGrid/>
          <w:color w:val="323232"/>
          <w:sz w:val="18"/>
        </w:rPr>
      </w:pPr>
      <w:r>
        <w:rPr>
          <w:rFonts w:hint="default" w:ascii="Arial"/>
          <w:b/>
          <w:snapToGrid/>
          <w:color w:val="323232"/>
          <w:sz w:val="18"/>
        </w:rPr>
        <w:t>记录主流即时通讯工具的聊天内容</w:t>
      </w:r>
      <w:r>
        <w:rPr>
          <w:rFonts w:hint="default" w:ascii="Arial"/>
          <w:snapToGrid/>
          <w:color w:val="323232"/>
          <w:sz w:val="18"/>
        </w:rPr>
        <w:t>IP-guard可以审计的即时通讯工具包括：</w:t>
      </w:r>
    </w:p>
    <w:p>
      <w:pPr>
        <w:kinsoku/>
        <w:autoSpaceDE/>
        <w:autoSpaceDN w:val="0"/>
        <w:spacing w:line="300" w:lineRule="atLeast"/>
        <w:rPr>
          <w:rFonts w:hint="default" w:ascii="Arial"/>
          <w:snapToGrid/>
          <w:color w:val="323232"/>
          <w:sz w:val="18"/>
        </w:rPr>
      </w:pPr>
      <w:r>
        <w:rPr>
          <w:rFonts w:hint="default" w:ascii="Arial"/>
          <w:snapToGrid/>
          <w:color w:val="323232"/>
          <w:sz w:val="18"/>
        </w:rPr>
        <w:t>QQ、MSN、飞信、Skype、Google Talk、百度Hi、RTX、雅虎通、TM、UC、POPO、飞秋、LSC、ALI</w:t>
      </w:r>
    </w:p>
    <w:p>
      <w:pPr>
        <w:numPr>
          <w:ilvl w:val="0"/>
          <w:numId w:val="8"/>
        </w:numPr>
        <w:kinsoku/>
        <w:autoSpaceDE/>
        <w:autoSpaceDN w:val="0"/>
        <w:spacing w:line="330" w:lineRule="atLeast"/>
        <w:rPr>
          <w:rFonts w:hint="default" w:ascii="Arial"/>
          <w:snapToGrid/>
          <w:color w:val="505050"/>
          <w:sz w:val="18"/>
        </w:rPr>
      </w:pPr>
      <w:r>
        <w:rPr>
          <w:rFonts w:hint="default" w:ascii="Arial"/>
          <w:b/>
          <w:snapToGrid/>
          <w:color w:val="323232"/>
          <w:sz w:val="18"/>
        </w:rPr>
        <w:t>控制非法的文件传输</w:t>
      </w:r>
      <w:r>
        <w:rPr>
          <w:rFonts w:hint="default" w:ascii="Arial"/>
          <w:snapToGrid/>
          <w:color w:val="505050"/>
          <w:sz w:val="18"/>
        </w:rPr>
        <w:t>根据文件名、文件大小等控制文件经由即时通讯工具外发</w:t>
      </w:r>
    </w:p>
    <w:p>
      <w:pPr>
        <w:numPr>
          <w:ilvl w:val="0"/>
          <w:numId w:val="8"/>
        </w:numPr>
        <w:kinsoku/>
        <w:autoSpaceDE/>
        <w:autoSpaceDN w:val="0"/>
        <w:spacing w:line="330" w:lineRule="atLeast"/>
        <w:rPr>
          <w:rFonts w:hint="default" w:ascii="Arial"/>
          <w:snapToGrid/>
          <w:color w:val="505050"/>
          <w:sz w:val="18"/>
        </w:rPr>
      </w:pPr>
      <w:r>
        <w:rPr>
          <w:rFonts w:hint="default" w:ascii="Arial"/>
          <w:b/>
          <w:snapToGrid/>
          <w:color w:val="323232"/>
          <w:sz w:val="18"/>
        </w:rPr>
        <w:t>备份传输的文档</w:t>
      </w:r>
      <w:r>
        <w:rPr>
          <w:rFonts w:hint="default" w:ascii="Arial"/>
          <w:snapToGrid/>
          <w:color w:val="505050"/>
          <w:sz w:val="18"/>
        </w:rPr>
        <w:t>完整的备份经由各种即时通讯工具外发的文档以供审计</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移动存储控制</w:t>
      </w:r>
    </w:p>
    <w:p>
      <w:pPr>
        <w:kinsoku/>
        <w:autoSpaceDE/>
        <w:autoSpaceDN w:val="0"/>
        <w:spacing w:line="300" w:lineRule="atLeast"/>
        <w:rPr>
          <w:rFonts w:hint="default" w:ascii="Arial"/>
          <w:snapToGrid/>
          <w:color w:val="323232"/>
          <w:sz w:val="18"/>
        </w:rPr>
      </w:pPr>
      <w:r>
        <w:rPr>
          <w:rFonts w:hint="default" w:ascii="Arial"/>
          <w:snapToGrid/>
          <w:color w:val="323232"/>
          <w:sz w:val="18"/>
        </w:rPr>
        <w:t>移动存储设备有着容量大、易携带的优点，因此被广泛用于信息的存储与传播。然而，移动存储设备不规范的应用，也可能是机密信息外泄的巨大漏洞，时有发生的设备丢失事件让很多企业在经济上或商业信誉上蒙受了重大损失。</w:t>
      </w:r>
    </w:p>
    <w:p>
      <w:pPr>
        <w:kinsoku/>
        <w:autoSpaceDE/>
        <w:autoSpaceDN w:val="0"/>
        <w:spacing w:line="300" w:lineRule="atLeast"/>
        <w:rPr>
          <w:rFonts w:hint="default" w:ascii="Arial"/>
          <w:snapToGrid/>
          <w:color w:val="323232"/>
          <w:sz w:val="18"/>
        </w:rPr>
      </w:pPr>
      <w:r>
        <w:rPr>
          <w:rFonts w:hint="default" w:ascii="Arial"/>
          <w:snapToGrid/>
          <w:color w:val="323232"/>
          <w:sz w:val="18"/>
        </w:rPr>
        <w:t>IP-guard移动存储管控功能，可以方便的对移动存储设备进行分类授权，做到做到“内盘内用、外盘外用”，同时，多种加密措施还能有效降低设备丢失时的泄密风险。</w:t>
      </w:r>
    </w:p>
    <w:p>
      <w:pPr>
        <w:numPr>
          <w:ilvl w:val="0"/>
          <w:numId w:val="9"/>
        </w:numPr>
        <w:kinsoku/>
        <w:autoSpaceDE/>
        <w:autoSpaceDN w:val="0"/>
        <w:spacing w:line="330" w:lineRule="atLeast"/>
        <w:rPr>
          <w:rFonts w:hint="default" w:ascii="Arial"/>
          <w:snapToGrid/>
          <w:color w:val="505050"/>
          <w:sz w:val="18"/>
        </w:rPr>
      </w:pPr>
      <w:r>
        <w:rPr>
          <w:rFonts w:hint="default" w:ascii="Arial"/>
          <w:b/>
          <w:snapToGrid/>
          <w:color w:val="323232"/>
          <w:sz w:val="18"/>
        </w:rPr>
        <w:t>对移动存储设备进行自定义分类</w:t>
      </w:r>
      <w:r>
        <w:rPr>
          <w:rFonts w:hint="default" w:ascii="Arial"/>
          <w:snapToGrid/>
          <w:color w:val="505050"/>
          <w:sz w:val="18"/>
        </w:rPr>
        <w:t>自动收集所有接入过内网的移动存储设备的信息</w:t>
      </w:r>
    </w:p>
    <w:p>
      <w:pPr>
        <w:numPr>
          <w:ilvl w:val="0"/>
          <w:numId w:val="9"/>
        </w:numPr>
        <w:kinsoku/>
        <w:autoSpaceDE/>
        <w:autoSpaceDN w:val="0"/>
        <w:spacing w:line="330" w:lineRule="atLeast"/>
        <w:rPr>
          <w:rFonts w:hint="default" w:ascii="Arial"/>
          <w:snapToGrid/>
          <w:color w:val="505050"/>
          <w:sz w:val="18"/>
        </w:rPr>
      </w:pPr>
      <w:r>
        <w:rPr>
          <w:rFonts w:hint="default" w:ascii="Arial"/>
          <w:snapToGrid/>
          <w:color w:val="505050"/>
          <w:sz w:val="18"/>
        </w:rPr>
        <w:t>允许自建移动存储分类并对各种移动存储设备进行归类</w:t>
      </w:r>
    </w:p>
    <w:p>
      <w:pPr>
        <w:numPr>
          <w:ilvl w:val="0"/>
          <w:numId w:val="9"/>
        </w:numPr>
        <w:kinsoku/>
        <w:autoSpaceDE/>
        <w:autoSpaceDN w:val="0"/>
        <w:spacing w:line="330" w:lineRule="atLeast"/>
        <w:rPr>
          <w:rFonts w:hint="default" w:ascii="Arial"/>
          <w:snapToGrid/>
          <w:color w:val="505050"/>
          <w:sz w:val="18"/>
        </w:rPr>
      </w:pPr>
      <w:r>
        <w:rPr>
          <w:rFonts w:hint="default" w:ascii="Arial"/>
          <w:snapToGrid/>
          <w:color w:val="505050"/>
          <w:sz w:val="18"/>
        </w:rPr>
        <w:t>允许为移动存储设备添加备注信息</w:t>
      </w:r>
    </w:p>
    <w:p>
      <w:pPr>
        <w:numPr>
          <w:ilvl w:val="0"/>
          <w:numId w:val="9"/>
        </w:numPr>
        <w:kinsoku/>
        <w:autoSpaceDE/>
        <w:autoSpaceDN w:val="0"/>
        <w:spacing w:line="330" w:lineRule="atLeast"/>
        <w:rPr>
          <w:rFonts w:hint="default" w:ascii="Arial"/>
          <w:snapToGrid/>
          <w:color w:val="505050"/>
          <w:sz w:val="18"/>
        </w:rPr>
      </w:pPr>
      <w:r>
        <w:rPr>
          <w:rFonts w:hint="default" w:ascii="Arial"/>
          <w:b/>
          <w:snapToGrid/>
          <w:color w:val="323232"/>
          <w:sz w:val="18"/>
        </w:rPr>
        <w:t>细致的移动存储授权</w:t>
      </w:r>
      <w:r>
        <w:rPr>
          <w:rFonts w:hint="default" w:ascii="Arial"/>
          <w:snapToGrid/>
          <w:color w:val="505050"/>
          <w:sz w:val="18"/>
        </w:rPr>
        <w:t>控制用户对指定移动存储设备的读写权限</w:t>
      </w:r>
    </w:p>
    <w:p>
      <w:pPr>
        <w:numPr>
          <w:ilvl w:val="0"/>
          <w:numId w:val="9"/>
        </w:numPr>
        <w:kinsoku/>
        <w:autoSpaceDE/>
        <w:autoSpaceDN w:val="0"/>
        <w:spacing w:line="330" w:lineRule="atLeast"/>
        <w:rPr>
          <w:rFonts w:hint="default" w:ascii="Arial"/>
          <w:snapToGrid/>
          <w:color w:val="505050"/>
          <w:sz w:val="18"/>
        </w:rPr>
      </w:pPr>
      <w:r>
        <w:rPr>
          <w:rFonts w:hint="default" w:ascii="Arial"/>
          <w:snapToGrid/>
          <w:color w:val="505050"/>
          <w:sz w:val="18"/>
        </w:rPr>
        <w:t>阻断未授权的移动存储设备的使用</w:t>
      </w:r>
    </w:p>
    <w:p>
      <w:pPr>
        <w:numPr>
          <w:ilvl w:val="0"/>
          <w:numId w:val="9"/>
        </w:numPr>
        <w:kinsoku/>
        <w:autoSpaceDE/>
        <w:autoSpaceDN w:val="0"/>
        <w:spacing w:line="330" w:lineRule="atLeast"/>
        <w:rPr>
          <w:rFonts w:hint="default" w:ascii="Arial"/>
          <w:snapToGrid/>
          <w:color w:val="505050"/>
          <w:sz w:val="18"/>
        </w:rPr>
      </w:pPr>
      <w:r>
        <w:rPr>
          <w:rFonts w:hint="default" w:ascii="Arial"/>
          <w:snapToGrid/>
          <w:color w:val="505050"/>
          <w:sz w:val="18"/>
        </w:rPr>
        <w:t>对写入指定移动存储设备的文件自动加密，并在授权终端使用时自动解密</w:t>
      </w:r>
    </w:p>
    <w:p>
      <w:pPr>
        <w:numPr>
          <w:ilvl w:val="0"/>
          <w:numId w:val="9"/>
        </w:numPr>
        <w:kinsoku/>
        <w:autoSpaceDE/>
        <w:autoSpaceDN w:val="0"/>
        <w:spacing w:line="330" w:lineRule="atLeast"/>
        <w:rPr>
          <w:rFonts w:hint="default" w:ascii="Arial"/>
          <w:snapToGrid/>
          <w:color w:val="505050"/>
          <w:sz w:val="18"/>
        </w:rPr>
      </w:pPr>
      <w:r>
        <w:rPr>
          <w:rFonts w:hint="default" w:ascii="Arial"/>
          <w:b/>
          <w:snapToGrid/>
          <w:color w:val="323232"/>
          <w:sz w:val="18"/>
        </w:rPr>
        <w:t>移动存储整盘加密</w:t>
      </w:r>
      <w:r>
        <w:rPr>
          <w:rFonts w:hint="default" w:ascii="Arial"/>
          <w:snapToGrid/>
          <w:color w:val="505050"/>
          <w:sz w:val="18"/>
        </w:rPr>
        <w:t>可将指定移动存储设备制作成只能在内部授权终端使用的加密盘</w:t>
      </w:r>
    </w:p>
    <w:p>
      <w:pPr>
        <w:numPr>
          <w:ilvl w:val="0"/>
          <w:numId w:val="9"/>
        </w:numPr>
        <w:kinsoku/>
        <w:autoSpaceDE/>
        <w:autoSpaceDN w:val="0"/>
        <w:spacing w:line="330" w:lineRule="atLeast"/>
        <w:rPr>
          <w:rFonts w:hint="default" w:ascii="Arial"/>
          <w:snapToGrid/>
          <w:color w:val="505050"/>
          <w:sz w:val="18"/>
        </w:rPr>
      </w:pPr>
      <w:r>
        <w:rPr>
          <w:rFonts w:hint="default" w:ascii="Arial"/>
          <w:b/>
          <w:snapToGrid/>
          <w:color w:val="323232"/>
          <w:sz w:val="18"/>
        </w:rPr>
        <w:t>移动存储使用审计</w:t>
      </w:r>
      <w:r>
        <w:rPr>
          <w:rFonts w:hint="default" w:ascii="Arial"/>
          <w:snapToGrid/>
          <w:color w:val="505050"/>
          <w:sz w:val="18"/>
        </w:rPr>
        <w:t>完整记录所有的移动存储设备的使用情况，包括类型、时间、计算机、用户等信息</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邮件管控</w:t>
      </w:r>
    </w:p>
    <w:p>
      <w:pPr>
        <w:kinsoku/>
        <w:autoSpaceDE/>
        <w:autoSpaceDN w:val="0"/>
        <w:spacing w:line="300" w:lineRule="atLeast"/>
        <w:rPr>
          <w:rFonts w:hint="default" w:ascii="Arial"/>
          <w:snapToGrid/>
          <w:color w:val="323232"/>
          <w:sz w:val="18"/>
        </w:rPr>
      </w:pPr>
      <w:r>
        <w:rPr>
          <w:rFonts w:hint="default" w:ascii="Arial"/>
          <w:snapToGrid/>
          <w:color w:val="323232"/>
          <w:sz w:val="18"/>
        </w:rPr>
        <w:t>几乎所有的数据都显示，电子邮件是企业中使用最为广泛的工具，几乎所有的企业都利用其进行必要的内部与外部沟通。显而易见，个人邮箱、邮件服务器中也就包含着大量的机密。如何对邮件往来进行有效的规范，防止机密信息经由电子邮件泄漏，是IT管理者面对的重大挑战。</w:t>
      </w:r>
    </w:p>
    <w:p>
      <w:pPr>
        <w:kinsoku/>
        <w:autoSpaceDE/>
        <w:autoSpaceDN w:val="0"/>
        <w:spacing w:line="300" w:lineRule="atLeast"/>
        <w:rPr>
          <w:rFonts w:hint="default" w:ascii="Arial"/>
          <w:snapToGrid/>
          <w:color w:val="323232"/>
          <w:sz w:val="18"/>
        </w:rPr>
      </w:pPr>
      <w:r>
        <w:rPr>
          <w:rFonts w:hint="default" w:ascii="Arial"/>
          <w:snapToGrid/>
          <w:color w:val="323232"/>
          <w:sz w:val="18"/>
        </w:rPr>
        <w:t>IP-guard邮件管控模块，可以完整的记录各种类型的邮件的详细内容以供审计，同时能够通过准确限制邮件收发件人来规范用户的电子邮件使用行为，防范电子邮件滥用的泄密风险。</w:t>
      </w:r>
    </w:p>
    <w:p>
      <w:pPr>
        <w:numPr>
          <w:ilvl w:val="0"/>
          <w:numId w:val="10"/>
        </w:numPr>
        <w:kinsoku/>
        <w:autoSpaceDE/>
        <w:autoSpaceDN w:val="0"/>
        <w:spacing w:line="330" w:lineRule="atLeast"/>
        <w:rPr>
          <w:rFonts w:hint="default" w:ascii="Arial"/>
          <w:snapToGrid/>
          <w:color w:val="505050"/>
          <w:sz w:val="18"/>
        </w:rPr>
      </w:pPr>
      <w:r>
        <w:rPr>
          <w:rFonts w:hint="default" w:ascii="Arial"/>
          <w:b/>
          <w:snapToGrid/>
          <w:color w:val="323232"/>
          <w:sz w:val="18"/>
        </w:rPr>
        <w:t>完整记录邮件内容</w:t>
      </w:r>
      <w:r>
        <w:rPr>
          <w:rFonts w:hint="default" w:ascii="Arial"/>
          <w:snapToGrid/>
          <w:color w:val="505050"/>
          <w:sz w:val="18"/>
        </w:rPr>
        <w:t>完整记录各种格式邮件的收发件人、正文内容以及附件内容</w:t>
      </w:r>
    </w:p>
    <w:p>
      <w:pPr>
        <w:numPr>
          <w:ilvl w:val="0"/>
          <w:numId w:val="10"/>
        </w:numPr>
        <w:kinsoku/>
        <w:autoSpaceDE/>
        <w:autoSpaceDN w:val="0"/>
        <w:spacing w:line="330" w:lineRule="atLeast"/>
        <w:rPr>
          <w:rFonts w:hint="default" w:ascii="Arial"/>
          <w:snapToGrid/>
          <w:color w:val="505050"/>
          <w:sz w:val="18"/>
        </w:rPr>
      </w:pPr>
      <w:r>
        <w:rPr>
          <w:rFonts w:hint="default" w:ascii="Arial"/>
          <w:b/>
          <w:snapToGrid/>
          <w:color w:val="323232"/>
          <w:sz w:val="18"/>
        </w:rPr>
        <w:t>电子邮件使用控制</w:t>
      </w:r>
      <w:r>
        <w:rPr>
          <w:rFonts w:hint="default" w:ascii="Arial"/>
          <w:snapToGrid/>
          <w:color w:val="505050"/>
          <w:sz w:val="18"/>
        </w:rPr>
        <w:t>限制邮件的收件人、发件人、主题</w:t>
      </w:r>
    </w:p>
    <w:p>
      <w:pPr>
        <w:numPr>
          <w:ilvl w:val="0"/>
          <w:numId w:val="10"/>
        </w:numPr>
        <w:kinsoku/>
        <w:autoSpaceDE/>
        <w:autoSpaceDN w:val="0"/>
        <w:spacing w:line="330" w:lineRule="atLeast"/>
        <w:rPr>
          <w:rFonts w:hint="default" w:ascii="Arial"/>
          <w:snapToGrid/>
          <w:color w:val="505050"/>
          <w:sz w:val="18"/>
        </w:rPr>
      </w:pPr>
      <w:r>
        <w:rPr>
          <w:rFonts w:hint="default" w:ascii="Arial"/>
          <w:snapToGrid/>
          <w:color w:val="505050"/>
          <w:sz w:val="18"/>
        </w:rPr>
        <w:t>限定能否包含附件，以及附件文件的大小</w:t>
      </w:r>
    </w:p>
    <w:p>
      <w:pPr>
        <w:numPr>
          <w:ilvl w:val="0"/>
          <w:numId w:val="10"/>
        </w:numPr>
        <w:kinsoku/>
        <w:autoSpaceDE/>
        <w:autoSpaceDN w:val="0"/>
        <w:spacing w:line="330" w:lineRule="atLeast"/>
        <w:rPr>
          <w:rFonts w:hint="default" w:ascii="Arial"/>
          <w:snapToGrid/>
          <w:color w:val="505050"/>
          <w:sz w:val="18"/>
        </w:rPr>
      </w:pPr>
      <w:r>
        <w:rPr>
          <w:rFonts w:hint="default" w:ascii="Arial"/>
          <w:snapToGrid/>
          <w:color w:val="505050"/>
          <w:sz w:val="18"/>
        </w:rPr>
        <w:t>强制用户在发送特定邮件时强制抄送至指定邮箱</w:t>
      </w:r>
    </w:p>
    <w:p>
      <w:pPr>
        <w:numPr>
          <w:ilvl w:val="0"/>
          <w:numId w:val="10"/>
        </w:numPr>
        <w:kinsoku/>
        <w:autoSpaceDE/>
        <w:autoSpaceDN w:val="0"/>
        <w:spacing w:line="330" w:lineRule="atLeast"/>
        <w:rPr>
          <w:rFonts w:hint="default" w:ascii="Arial"/>
          <w:snapToGrid/>
          <w:color w:val="505050"/>
          <w:sz w:val="18"/>
        </w:rPr>
      </w:pPr>
      <w:r>
        <w:rPr>
          <w:rFonts w:hint="default" w:ascii="Arial"/>
          <w:b/>
          <w:snapToGrid/>
          <w:color w:val="323232"/>
          <w:sz w:val="18"/>
        </w:rPr>
        <w:t>实时报警与警告</w:t>
      </w:r>
      <w:r>
        <w:rPr>
          <w:rFonts w:hint="default" w:ascii="Arial"/>
          <w:snapToGrid/>
          <w:color w:val="505050"/>
          <w:sz w:val="18"/>
        </w:rPr>
        <w:t>用户进行非法邮件发送时在控制台即时弹出气泡告知管理员</w:t>
      </w:r>
    </w:p>
    <w:p>
      <w:pPr>
        <w:numPr>
          <w:ilvl w:val="0"/>
          <w:numId w:val="10"/>
        </w:numPr>
        <w:kinsoku/>
        <w:autoSpaceDE/>
        <w:autoSpaceDN w:val="0"/>
        <w:spacing w:line="330" w:lineRule="atLeast"/>
        <w:rPr>
          <w:rFonts w:hint="default" w:ascii="Arial"/>
          <w:snapToGrid/>
          <w:color w:val="505050"/>
          <w:sz w:val="18"/>
        </w:rPr>
      </w:pPr>
      <w:r>
        <w:rPr>
          <w:rFonts w:hint="default" w:ascii="Arial"/>
          <w:snapToGrid/>
          <w:color w:val="505050"/>
          <w:sz w:val="18"/>
        </w:rPr>
        <w:t>在用户端弹出预先设定的警告信息</w:t>
      </w:r>
    </w:p>
    <w:p>
      <w:pPr>
        <w:numPr>
          <w:ilvl w:val="0"/>
          <w:numId w:val="10"/>
        </w:numPr>
        <w:kinsoku/>
        <w:autoSpaceDE/>
        <w:autoSpaceDN w:val="0"/>
        <w:spacing w:line="330" w:lineRule="atLeast"/>
        <w:rPr>
          <w:rFonts w:hint="default" w:ascii="Arial"/>
          <w:snapToGrid/>
          <w:color w:val="505050"/>
          <w:sz w:val="18"/>
        </w:rPr>
      </w:pPr>
      <w:r>
        <w:rPr>
          <w:rFonts w:hint="default" w:ascii="Arial"/>
          <w:snapToGrid/>
          <w:color w:val="505050"/>
          <w:sz w:val="18"/>
        </w:rPr>
        <w:t>必要时直接阻断邮件发送并锁定计算机</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网络控制</w:t>
      </w:r>
    </w:p>
    <w:p>
      <w:pPr>
        <w:kinsoku/>
        <w:autoSpaceDE/>
        <w:autoSpaceDN w:val="0"/>
        <w:spacing w:line="300" w:lineRule="atLeast"/>
        <w:rPr>
          <w:rFonts w:hint="default" w:ascii="Arial"/>
          <w:snapToGrid/>
          <w:color w:val="323232"/>
          <w:sz w:val="18"/>
        </w:rPr>
      </w:pPr>
      <w:r>
        <w:rPr>
          <w:rFonts w:hint="default" w:ascii="Arial"/>
          <w:snapToGrid/>
          <w:color w:val="323232"/>
          <w:sz w:val="18"/>
        </w:rPr>
        <w:t>网络的应用，使得信息的流通更加方便快捷，然而，无边界、防御不足的网络，也容易让企业内部网络的机密信息暴露在互联网中，这可能危害企业的信息安全。</w:t>
      </w:r>
    </w:p>
    <w:p>
      <w:pPr>
        <w:kinsoku/>
        <w:autoSpaceDE/>
        <w:autoSpaceDN w:val="0"/>
        <w:spacing w:line="300" w:lineRule="atLeast"/>
        <w:rPr>
          <w:rFonts w:hint="default" w:ascii="Arial"/>
          <w:snapToGrid/>
          <w:color w:val="323232"/>
          <w:sz w:val="18"/>
        </w:rPr>
      </w:pPr>
      <w:r>
        <w:rPr>
          <w:rFonts w:hint="default" w:ascii="Arial"/>
          <w:snapToGrid/>
          <w:color w:val="323232"/>
          <w:sz w:val="18"/>
        </w:rPr>
        <w:t>IP-guard网络通讯管控功能，可以控制内部计算机的局域网与互联网通讯权限，帮助保护重要部门的网络安全，使内部网络免受非法入侵，同时有效防止内网机密信息经由网络泄漏。</w:t>
      </w:r>
    </w:p>
    <w:p>
      <w:pPr>
        <w:numPr>
          <w:ilvl w:val="0"/>
          <w:numId w:val="11"/>
        </w:numPr>
        <w:kinsoku/>
        <w:autoSpaceDE/>
        <w:autoSpaceDN w:val="0"/>
        <w:spacing w:line="330" w:lineRule="atLeast"/>
        <w:rPr>
          <w:rFonts w:hint="default" w:ascii="Arial"/>
          <w:snapToGrid/>
          <w:color w:val="505050"/>
          <w:sz w:val="18"/>
        </w:rPr>
      </w:pPr>
      <w:r>
        <w:rPr>
          <w:rFonts w:hint="default" w:ascii="Arial"/>
          <w:b/>
          <w:snapToGrid/>
          <w:color w:val="323232"/>
          <w:sz w:val="18"/>
        </w:rPr>
        <w:t>计算机通讯权限控制</w:t>
      </w:r>
      <w:r>
        <w:rPr>
          <w:rFonts w:hint="default" w:ascii="Arial"/>
          <w:snapToGrid/>
          <w:color w:val="505050"/>
          <w:sz w:val="18"/>
        </w:rPr>
        <w:t>控制局域网计算机间的网络通讯权限，使各部门之间网络有效隔离，保护重要网络通讯安全</w:t>
      </w:r>
    </w:p>
    <w:p>
      <w:pPr>
        <w:numPr>
          <w:ilvl w:val="0"/>
          <w:numId w:val="11"/>
        </w:numPr>
        <w:kinsoku/>
        <w:autoSpaceDE/>
        <w:autoSpaceDN w:val="0"/>
        <w:spacing w:line="330" w:lineRule="atLeast"/>
        <w:rPr>
          <w:rFonts w:hint="default" w:ascii="Arial"/>
          <w:snapToGrid/>
          <w:color w:val="505050"/>
          <w:sz w:val="18"/>
        </w:rPr>
      </w:pPr>
      <w:r>
        <w:rPr>
          <w:rFonts w:hint="default" w:ascii="Arial"/>
          <w:snapToGrid/>
          <w:color w:val="505050"/>
          <w:sz w:val="18"/>
        </w:rPr>
        <w:t>灵活控制计算机的互联网访问权限，防止用户非法外联互联网</w:t>
      </w:r>
    </w:p>
    <w:p>
      <w:pPr>
        <w:numPr>
          <w:ilvl w:val="0"/>
          <w:numId w:val="11"/>
        </w:numPr>
        <w:kinsoku/>
        <w:autoSpaceDE/>
        <w:autoSpaceDN w:val="0"/>
        <w:spacing w:line="330" w:lineRule="atLeast"/>
        <w:rPr>
          <w:rFonts w:hint="default" w:ascii="Arial"/>
          <w:snapToGrid/>
          <w:color w:val="505050"/>
          <w:sz w:val="18"/>
        </w:rPr>
      </w:pPr>
      <w:r>
        <w:rPr>
          <w:rFonts w:hint="default" w:ascii="Arial"/>
          <w:snapToGrid/>
          <w:color w:val="505050"/>
          <w:sz w:val="18"/>
        </w:rPr>
        <w:t>控制FTP、P2P等端口，以限制下载、在线视听等带宽滥用行为</w:t>
      </w:r>
    </w:p>
    <w:p>
      <w:pPr>
        <w:numPr>
          <w:ilvl w:val="0"/>
          <w:numId w:val="11"/>
        </w:numPr>
        <w:kinsoku/>
        <w:autoSpaceDE/>
        <w:autoSpaceDN w:val="0"/>
        <w:spacing w:line="330" w:lineRule="atLeast"/>
        <w:rPr>
          <w:rFonts w:hint="default" w:ascii="Arial"/>
          <w:snapToGrid/>
          <w:color w:val="505050"/>
          <w:sz w:val="18"/>
        </w:rPr>
      </w:pPr>
      <w:r>
        <w:rPr>
          <w:rFonts w:hint="default" w:ascii="Arial"/>
          <w:snapToGrid/>
          <w:color w:val="505050"/>
          <w:sz w:val="18"/>
        </w:rPr>
        <w:t>控制有风险的端口以防范已有的网络安全风险</w:t>
      </w:r>
    </w:p>
    <w:p>
      <w:pPr>
        <w:numPr>
          <w:ilvl w:val="0"/>
          <w:numId w:val="11"/>
        </w:numPr>
        <w:kinsoku/>
        <w:autoSpaceDE/>
        <w:autoSpaceDN w:val="0"/>
        <w:spacing w:line="330" w:lineRule="atLeast"/>
        <w:rPr>
          <w:rFonts w:hint="default" w:ascii="Arial"/>
          <w:snapToGrid/>
          <w:color w:val="505050"/>
          <w:sz w:val="18"/>
        </w:rPr>
      </w:pPr>
      <w:r>
        <w:rPr>
          <w:rFonts w:hint="default" w:ascii="Arial"/>
          <w:b/>
          <w:snapToGrid/>
          <w:color w:val="323232"/>
          <w:sz w:val="18"/>
        </w:rPr>
        <w:t>网络接入检测</w:t>
      </w:r>
      <w:r>
        <w:rPr>
          <w:rFonts w:hint="default" w:ascii="Arial"/>
          <w:snapToGrid/>
          <w:color w:val="505050"/>
          <w:sz w:val="18"/>
        </w:rPr>
        <w:t>检测并认证新接入网络的计算机</w:t>
      </w:r>
    </w:p>
    <w:p>
      <w:pPr>
        <w:numPr>
          <w:ilvl w:val="0"/>
          <w:numId w:val="11"/>
        </w:numPr>
        <w:kinsoku/>
        <w:autoSpaceDE/>
        <w:autoSpaceDN w:val="0"/>
        <w:spacing w:line="330" w:lineRule="atLeast"/>
        <w:rPr>
          <w:rFonts w:hint="default" w:ascii="Arial"/>
          <w:snapToGrid/>
          <w:color w:val="505050"/>
          <w:sz w:val="18"/>
        </w:rPr>
      </w:pPr>
      <w:r>
        <w:rPr>
          <w:rFonts w:hint="default" w:ascii="Arial"/>
          <w:snapToGrid/>
          <w:color w:val="505050"/>
          <w:sz w:val="18"/>
        </w:rPr>
        <w:t>识别并阻断任何非法计算机接入内部网</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网络流量控制</w:t>
      </w:r>
    </w:p>
    <w:p>
      <w:pPr>
        <w:kinsoku/>
        <w:autoSpaceDE/>
        <w:autoSpaceDN w:val="0"/>
        <w:spacing w:line="300" w:lineRule="atLeast"/>
        <w:rPr>
          <w:rFonts w:hint="default" w:ascii="Arial"/>
          <w:snapToGrid/>
          <w:color w:val="323232"/>
          <w:sz w:val="18"/>
        </w:rPr>
      </w:pPr>
      <w:r>
        <w:rPr>
          <w:rFonts w:hint="default" w:ascii="Arial"/>
          <w:snapToGrid/>
          <w:color w:val="323232"/>
          <w:sz w:val="18"/>
        </w:rPr>
        <w:t>通畅的网络可以加速企业的信息传递，提升协同工作的效率。然而，现在的IT管理者在带宽管理方面面临着在线视频、下载、P2P等多种带宽滥用行为的挑战，拥堵的网络使得关键的业务无法正常展开，同时降低了员工的工作效率，严重损害了企业在带宽方面的IT投资回报。</w:t>
      </w:r>
    </w:p>
    <w:p>
      <w:pPr>
        <w:kinsoku/>
        <w:autoSpaceDE/>
        <w:autoSpaceDN w:val="0"/>
        <w:spacing w:line="300" w:lineRule="atLeast"/>
        <w:rPr>
          <w:rFonts w:hint="default" w:ascii="Arial"/>
          <w:snapToGrid/>
          <w:color w:val="323232"/>
          <w:sz w:val="18"/>
        </w:rPr>
      </w:pPr>
      <w:r>
        <w:rPr>
          <w:rFonts w:hint="default" w:ascii="Arial"/>
          <w:snapToGrid/>
          <w:color w:val="323232"/>
          <w:sz w:val="18"/>
        </w:rPr>
        <w:t>IP-guard网络流量管控功能，可以有效的限制各种工作需求之外的流量，保证关键业务的正常带宽，让整体网络更加通畅。</w:t>
      </w:r>
    </w:p>
    <w:p>
      <w:pPr>
        <w:numPr>
          <w:ilvl w:val="0"/>
          <w:numId w:val="12"/>
        </w:numPr>
        <w:kinsoku/>
        <w:autoSpaceDE/>
        <w:autoSpaceDN w:val="0"/>
        <w:spacing w:line="330" w:lineRule="atLeast"/>
        <w:rPr>
          <w:rFonts w:hint="default" w:ascii="Arial"/>
          <w:snapToGrid/>
          <w:color w:val="505050"/>
          <w:sz w:val="18"/>
        </w:rPr>
      </w:pPr>
      <w:r>
        <w:rPr>
          <w:rFonts w:hint="default" w:ascii="Arial"/>
          <w:b/>
          <w:snapToGrid/>
          <w:color w:val="323232"/>
          <w:sz w:val="18"/>
        </w:rPr>
        <w:t>以多种参数灵活限制各种应用的带宽</w:t>
      </w:r>
      <w:r>
        <w:rPr>
          <w:rFonts w:hint="default" w:ascii="Arial"/>
          <w:snapToGrid/>
          <w:color w:val="505050"/>
          <w:sz w:val="18"/>
        </w:rPr>
        <w:t>限定指定用户的内网以或外网的流量带宽</w:t>
      </w:r>
    </w:p>
    <w:p>
      <w:pPr>
        <w:numPr>
          <w:ilvl w:val="0"/>
          <w:numId w:val="12"/>
        </w:numPr>
        <w:kinsoku/>
        <w:autoSpaceDE/>
        <w:autoSpaceDN w:val="0"/>
        <w:spacing w:line="330" w:lineRule="atLeast"/>
        <w:rPr>
          <w:rFonts w:hint="default" w:ascii="Arial"/>
          <w:snapToGrid/>
          <w:color w:val="505050"/>
          <w:sz w:val="18"/>
        </w:rPr>
      </w:pPr>
      <w:r>
        <w:rPr>
          <w:rFonts w:hint="default" w:ascii="Arial"/>
          <w:snapToGrid/>
          <w:color w:val="505050"/>
          <w:sz w:val="18"/>
        </w:rPr>
        <w:t>通过IP、端口、方向等详细限定用户的网络流量</w:t>
      </w:r>
    </w:p>
    <w:p>
      <w:pPr>
        <w:numPr>
          <w:ilvl w:val="0"/>
          <w:numId w:val="12"/>
        </w:numPr>
        <w:kinsoku/>
        <w:autoSpaceDE/>
        <w:autoSpaceDN w:val="0"/>
        <w:spacing w:line="330" w:lineRule="atLeast"/>
        <w:rPr>
          <w:rFonts w:hint="default" w:ascii="Arial"/>
          <w:snapToGrid/>
          <w:color w:val="505050"/>
          <w:sz w:val="18"/>
        </w:rPr>
      </w:pPr>
      <w:r>
        <w:rPr>
          <w:rFonts w:hint="default" w:ascii="Arial"/>
          <w:snapToGrid/>
          <w:color w:val="505050"/>
          <w:sz w:val="18"/>
        </w:rPr>
        <w:t>内建IT资产报表输出功能</w:t>
      </w:r>
    </w:p>
    <w:p>
      <w:pPr>
        <w:numPr>
          <w:ilvl w:val="0"/>
          <w:numId w:val="12"/>
        </w:numPr>
        <w:kinsoku/>
        <w:autoSpaceDE/>
        <w:autoSpaceDN w:val="0"/>
        <w:spacing w:line="330" w:lineRule="atLeast"/>
        <w:rPr>
          <w:rFonts w:hint="default" w:ascii="Arial"/>
          <w:snapToGrid/>
          <w:color w:val="505050"/>
          <w:sz w:val="18"/>
        </w:rPr>
      </w:pPr>
      <w:r>
        <w:rPr>
          <w:rFonts w:hint="default" w:ascii="Arial"/>
          <w:b/>
          <w:snapToGrid/>
          <w:color w:val="323232"/>
          <w:sz w:val="18"/>
        </w:rPr>
        <w:t>详细的流量状态报表</w:t>
      </w:r>
      <w:r>
        <w:rPr>
          <w:rFonts w:hint="default" w:ascii="Arial"/>
          <w:snapToGrid/>
          <w:color w:val="505050"/>
          <w:sz w:val="18"/>
        </w:rPr>
        <w:t>按地址、端口等不同参数统计指定用户或用户组的网络流量状态</w:t>
      </w:r>
    </w:p>
    <w:p>
      <w:pPr>
        <w:numPr>
          <w:ilvl w:val="0"/>
          <w:numId w:val="12"/>
        </w:numPr>
        <w:kinsoku/>
        <w:autoSpaceDE/>
        <w:autoSpaceDN w:val="0"/>
        <w:spacing w:line="330" w:lineRule="atLeast"/>
        <w:rPr>
          <w:rFonts w:hint="default" w:ascii="Arial"/>
          <w:snapToGrid/>
          <w:color w:val="505050"/>
          <w:sz w:val="18"/>
        </w:rPr>
      </w:pPr>
      <w:r>
        <w:rPr>
          <w:rFonts w:hint="default" w:ascii="Arial"/>
          <w:snapToGrid/>
          <w:color w:val="505050"/>
          <w:sz w:val="18"/>
        </w:rPr>
        <w:t>显示耗费流量最多的TOP10、TOP20的用户或用户组</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网页浏览管控</w:t>
      </w:r>
    </w:p>
    <w:p>
      <w:pPr>
        <w:kinsoku/>
        <w:autoSpaceDE/>
        <w:autoSpaceDN w:val="0"/>
        <w:spacing w:line="300" w:lineRule="atLeast"/>
        <w:rPr>
          <w:rFonts w:hint="default" w:ascii="Arial"/>
          <w:snapToGrid/>
          <w:color w:val="323232"/>
          <w:sz w:val="18"/>
        </w:rPr>
      </w:pPr>
      <w:r>
        <w:rPr>
          <w:rFonts w:hint="default" w:ascii="Arial"/>
          <w:snapToGrid/>
          <w:color w:val="323232"/>
          <w:sz w:val="18"/>
        </w:rPr>
        <w:t>时至今日，企业面临多种上网行为管理的难题。员工过多浏览与工作无关的网页，如开心网、微博，或者看小说、玩网页游戏、看在线视频等不当行为，不仅降低了其工作效率，网络上隐藏的病毒、木马、网络钓鱼等安全风险，更有可能使得用户在上网过程中泄漏敏感信息。除此之外，用户对色情、反动、暴力等非法网页的浏览，或利用公共网络在互联网上发布不当言论，也会为公司带来法律风险。</w:t>
      </w:r>
    </w:p>
    <w:p>
      <w:pPr>
        <w:kinsoku/>
        <w:autoSpaceDE/>
        <w:autoSpaceDN w:val="0"/>
        <w:spacing w:line="300" w:lineRule="atLeast"/>
        <w:rPr>
          <w:rFonts w:hint="default" w:ascii="Arial"/>
          <w:snapToGrid/>
          <w:color w:val="323232"/>
          <w:sz w:val="18"/>
        </w:rPr>
      </w:pPr>
      <w:r>
        <w:rPr>
          <w:rFonts w:hint="default" w:ascii="Arial"/>
          <w:snapToGrid/>
          <w:color w:val="323232"/>
          <w:sz w:val="18"/>
        </w:rPr>
        <w:t>IP-guard网页浏览管控功能，能够帮助IT管理人员建立符合企业安全和管理策略的网站访问黑白名单，审计并规范用户的上网行为，有效降低上述安全风险的同时，更能提高员工的工作效率。</w:t>
      </w:r>
    </w:p>
    <w:p>
      <w:pPr>
        <w:numPr>
          <w:ilvl w:val="0"/>
          <w:numId w:val="13"/>
        </w:numPr>
        <w:kinsoku/>
        <w:autoSpaceDE/>
        <w:autoSpaceDN w:val="0"/>
        <w:spacing w:line="330" w:lineRule="atLeast"/>
        <w:rPr>
          <w:rFonts w:hint="default" w:ascii="Arial"/>
          <w:snapToGrid/>
          <w:color w:val="505050"/>
          <w:sz w:val="18"/>
        </w:rPr>
      </w:pPr>
      <w:r>
        <w:rPr>
          <w:rFonts w:hint="default" w:ascii="Arial"/>
          <w:b/>
          <w:snapToGrid/>
          <w:color w:val="323232"/>
          <w:sz w:val="18"/>
        </w:rPr>
        <w:t>网页浏览统计报表</w:t>
      </w:r>
      <w:r>
        <w:rPr>
          <w:rFonts w:hint="default" w:ascii="Arial"/>
          <w:snapToGrid/>
          <w:color w:val="505050"/>
          <w:sz w:val="18"/>
        </w:rPr>
        <w:t>分类统计用户访问各种网站的时长</w:t>
      </w:r>
    </w:p>
    <w:p>
      <w:pPr>
        <w:numPr>
          <w:ilvl w:val="0"/>
          <w:numId w:val="13"/>
        </w:numPr>
        <w:kinsoku/>
        <w:autoSpaceDE/>
        <w:autoSpaceDN w:val="0"/>
        <w:spacing w:line="330" w:lineRule="atLeast"/>
        <w:rPr>
          <w:rFonts w:hint="default" w:ascii="Arial"/>
          <w:snapToGrid/>
          <w:color w:val="505050"/>
          <w:sz w:val="18"/>
        </w:rPr>
      </w:pPr>
      <w:r>
        <w:rPr>
          <w:rFonts w:hint="default" w:ascii="Arial"/>
          <w:snapToGrid/>
          <w:color w:val="505050"/>
          <w:sz w:val="18"/>
        </w:rPr>
        <w:t>显示用户访问最多的TOP10、TOP20网页，方便管理决策</w:t>
      </w:r>
    </w:p>
    <w:p>
      <w:pPr>
        <w:numPr>
          <w:ilvl w:val="0"/>
          <w:numId w:val="13"/>
        </w:numPr>
        <w:kinsoku/>
        <w:autoSpaceDE/>
        <w:autoSpaceDN w:val="0"/>
        <w:spacing w:line="330" w:lineRule="atLeast"/>
        <w:rPr>
          <w:rFonts w:hint="default" w:ascii="Arial"/>
          <w:snapToGrid/>
          <w:color w:val="505050"/>
          <w:sz w:val="18"/>
        </w:rPr>
      </w:pPr>
      <w:r>
        <w:rPr>
          <w:rFonts w:hint="default" w:ascii="Arial"/>
          <w:b/>
          <w:snapToGrid/>
          <w:color w:val="323232"/>
          <w:sz w:val="18"/>
        </w:rPr>
        <w:t>网页浏览控制</w:t>
      </w:r>
      <w:r>
        <w:rPr>
          <w:rFonts w:hint="default" w:ascii="Arial"/>
          <w:snapToGrid/>
          <w:color w:val="505050"/>
          <w:sz w:val="18"/>
        </w:rPr>
        <w:t>阻断任何不符合IT策略的网页访问，如娱乐、反动、色情站点</w:t>
      </w:r>
    </w:p>
    <w:p>
      <w:pPr>
        <w:numPr>
          <w:ilvl w:val="0"/>
          <w:numId w:val="13"/>
        </w:numPr>
        <w:kinsoku/>
        <w:autoSpaceDE/>
        <w:autoSpaceDN w:val="0"/>
        <w:spacing w:line="330" w:lineRule="atLeast"/>
        <w:rPr>
          <w:rFonts w:hint="default" w:ascii="Arial"/>
          <w:snapToGrid/>
          <w:color w:val="505050"/>
          <w:sz w:val="18"/>
        </w:rPr>
      </w:pPr>
      <w:r>
        <w:rPr>
          <w:rFonts w:hint="default" w:ascii="Arial"/>
          <w:snapToGrid/>
          <w:color w:val="505050"/>
          <w:sz w:val="18"/>
        </w:rPr>
        <w:t>可以执行人性化的分时段网页浏览控制策略</w:t>
      </w:r>
    </w:p>
    <w:p>
      <w:pPr>
        <w:numPr>
          <w:ilvl w:val="0"/>
          <w:numId w:val="13"/>
        </w:numPr>
        <w:kinsoku/>
        <w:autoSpaceDE/>
        <w:autoSpaceDN w:val="0"/>
        <w:spacing w:line="330" w:lineRule="atLeast"/>
        <w:rPr>
          <w:rFonts w:hint="default" w:ascii="Arial"/>
          <w:snapToGrid/>
          <w:color w:val="505050"/>
          <w:sz w:val="18"/>
        </w:rPr>
      </w:pPr>
      <w:r>
        <w:rPr>
          <w:rFonts w:hint="default" w:ascii="Arial"/>
          <w:b/>
          <w:snapToGrid/>
          <w:color w:val="323232"/>
          <w:sz w:val="18"/>
        </w:rPr>
        <w:t>网页浏览全面记录</w:t>
      </w:r>
      <w:r>
        <w:rPr>
          <w:rFonts w:hint="default" w:ascii="Arial"/>
          <w:snapToGrid/>
          <w:color w:val="505050"/>
          <w:sz w:val="18"/>
        </w:rPr>
        <w:t>全面记录用户所访问的所有网页网址、标题、时间，并能够方便查询</w:t>
      </w:r>
    </w:p>
    <w:p>
      <w:pPr>
        <w:numPr>
          <w:ilvl w:val="0"/>
          <w:numId w:val="13"/>
        </w:numPr>
        <w:kinsoku/>
        <w:autoSpaceDE/>
        <w:autoSpaceDN w:val="0"/>
        <w:spacing w:line="330" w:lineRule="atLeast"/>
        <w:rPr>
          <w:rFonts w:hint="default" w:ascii="Arial"/>
          <w:snapToGrid/>
          <w:color w:val="505050"/>
          <w:sz w:val="18"/>
        </w:rPr>
      </w:pPr>
      <w:r>
        <w:rPr>
          <w:rFonts w:hint="default" w:ascii="Arial"/>
          <w:b/>
          <w:snapToGrid/>
          <w:color w:val="323232"/>
          <w:sz w:val="18"/>
        </w:rPr>
        <w:t>自定义的网址分类库</w:t>
      </w:r>
      <w:r>
        <w:rPr>
          <w:rFonts w:hint="default" w:ascii="Arial"/>
          <w:snapToGrid/>
          <w:color w:val="505050"/>
          <w:sz w:val="18"/>
        </w:rPr>
        <w:t>自动收集用户访问过的所有网站并将其添加至自建的网址分类库中，便于统一设定访问策略或进行统计</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应用程序管控</w:t>
      </w:r>
    </w:p>
    <w:p>
      <w:pPr>
        <w:kinsoku/>
        <w:autoSpaceDE/>
        <w:autoSpaceDN w:val="0"/>
        <w:spacing w:line="300" w:lineRule="atLeast"/>
        <w:rPr>
          <w:rFonts w:hint="default" w:ascii="Arial"/>
          <w:snapToGrid/>
          <w:color w:val="323232"/>
          <w:sz w:val="18"/>
        </w:rPr>
      </w:pPr>
      <w:r>
        <w:rPr>
          <w:rFonts w:hint="default" w:ascii="Arial"/>
          <w:snapToGrid/>
          <w:color w:val="323232"/>
          <w:sz w:val="18"/>
        </w:rPr>
        <w:t>层出不穷的间谍与木马程序，开放的网络应用，都使得现在的IT应用合规性管理面临着重大挑战。用户违反IT政策，使用可能含有未知风险的应用程序，或耗费大量时间在与工作无关的炒股、游戏等娱乐应用上，都会对企业的IT投资回报产生重大影响。</w:t>
      </w:r>
    </w:p>
    <w:p>
      <w:pPr>
        <w:kinsoku/>
        <w:autoSpaceDE/>
        <w:autoSpaceDN w:val="0"/>
        <w:spacing w:line="300" w:lineRule="atLeast"/>
        <w:rPr>
          <w:rFonts w:hint="default" w:ascii="Arial"/>
          <w:snapToGrid/>
          <w:color w:val="323232"/>
          <w:sz w:val="18"/>
        </w:rPr>
      </w:pPr>
      <w:r>
        <w:rPr>
          <w:rFonts w:hint="default" w:ascii="Arial"/>
          <w:snapToGrid/>
          <w:color w:val="323232"/>
          <w:sz w:val="18"/>
        </w:rPr>
        <w:t>IP-guard应用程序管控功能，可以帮助管理者发现用户正在使用的应用程序的种类以及对应的比率，并帮助制定和执行企业IT应用的黑白名单，减少不符合IT政策的程序应用，降低安全风险，提升用户工作效率。</w:t>
      </w:r>
    </w:p>
    <w:p>
      <w:pPr>
        <w:pBdr>
          <w:bottom w:val="dashed" w:color="ACACAC" w:sz="6" w:space="3"/>
        </w:pBdr>
        <w:kinsoku/>
        <w:autoSpaceDE/>
        <w:autoSpaceDN w:val="0"/>
        <w:spacing w:line="300" w:lineRule="atLeast"/>
        <w:rPr>
          <w:rFonts w:hint="default" w:ascii="Arial"/>
          <w:b/>
          <w:snapToGrid/>
          <w:color w:val="113C8D"/>
          <w:sz w:val="21"/>
        </w:rPr>
      </w:pPr>
      <w:r>
        <w:rPr>
          <w:rFonts w:hint="default" w:ascii="Arial"/>
          <w:b/>
          <w:snapToGrid/>
          <w:color w:val="113C8D"/>
          <w:sz w:val="21"/>
        </w:rPr>
        <w:t>应用程序使用统计</w:t>
      </w:r>
    </w:p>
    <w:p>
      <w:pPr>
        <w:numPr>
          <w:ilvl w:val="0"/>
          <w:numId w:val="14"/>
        </w:numPr>
        <w:kinsoku/>
        <w:autoSpaceDE/>
        <w:autoSpaceDN w:val="0"/>
        <w:spacing w:line="330" w:lineRule="atLeast"/>
        <w:rPr>
          <w:rFonts w:hint="default" w:ascii="Arial"/>
          <w:snapToGrid/>
          <w:color w:val="505050"/>
          <w:sz w:val="18"/>
        </w:rPr>
      </w:pPr>
      <w:r>
        <w:rPr>
          <w:rFonts w:hint="default" w:ascii="Arial"/>
          <w:snapToGrid/>
          <w:color w:val="505050"/>
          <w:sz w:val="18"/>
        </w:rPr>
        <w:t>统计用户使用不同应用程序的比率和时长</w:t>
      </w:r>
    </w:p>
    <w:p>
      <w:pPr>
        <w:numPr>
          <w:ilvl w:val="0"/>
          <w:numId w:val="14"/>
        </w:numPr>
        <w:kinsoku/>
        <w:autoSpaceDE/>
        <w:autoSpaceDN w:val="0"/>
        <w:spacing w:line="330" w:lineRule="atLeast"/>
        <w:rPr>
          <w:rFonts w:hint="default" w:ascii="Arial"/>
          <w:snapToGrid/>
          <w:color w:val="505050"/>
          <w:sz w:val="18"/>
        </w:rPr>
      </w:pPr>
      <w:r>
        <w:rPr>
          <w:rFonts w:hint="default" w:ascii="Arial"/>
          <w:snapToGrid/>
          <w:color w:val="505050"/>
          <w:sz w:val="18"/>
        </w:rPr>
        <w:t>统计最经常被使用的TOP10或TOP20应用程序</w:t>
      </w:r>
    </w:p>
    <w:p>
      <w:pPr>
        <w:numPr>
          <w:ilvl w:val="0"/>
          <w:numId w:val="14"/>
        </w:numPr>
        <w:kinsoku/>
        <w:autoSpaceDE/>
        <w:autoSpaceDN w:val="0"/>
        <w:spacing w:line="330" w:lineRule="atLeast"/>
        <w:rPr>
          <w:rFonts w:hint="default" w:ascii="Arial"/>
          <w:snapToGrid/>
          <w:color w:val="505050"/>
          <w:sz w:val="18"/>
        </w:rPr>
      </w:pPr>
      <w:r>
        <w:rPr>
          <w:rFonts w:hint="default" w:ascii="Arial"/>
          <w:snapToGrid/>
          <w:color w:val="505050"/>
          <w:sz w:val="18"/>
        </w:rPr>
        <w:t>以直观图表显示统计结果，并能够方便导出</w:t>
      </w:r>
    </w:p>
    <w:p>
      <w:pPr>
        <w:pBdr>
          <w:bottom w:val="dashed" w:color="ACACAC" w:sz="6" w:space="3"/>
        </w:pBdr>
        <w:kinsoku/>
        <w:autoSpaceDE/>
        <w:autoSpaceDN w:val="0"/>
        <w:spacing w:line="300" w:lineRule="atLeast"/>
        <w:rPr>
          <w:rFonts w:hint="default" w:ascii="Arial"/>
          <w:b/>
          <w:snapToGrid/>
          <w:color w:val="113C8D"/>
          <w:sz w:val="21"/>
        </w:rPr>
      </w:pPr>
      <w:r>
        <w:rPr>
          <w:rFonts w:hint="default" w:ascii="Arial"/>
          <w:b/>
          <w:snapToGrid/>
          <w:color w:val="113C8D"/>
          <w:sz w:val="21"/>
        </w:rPr>
        <w:t>黑白名单控制应用程序使用</w:t>
      </w:r>
    </w:p>
    <w:p>
      <w:pPr>
        <w:numPr>
          <w:ilvl w:val="0"/>
          <w:numId w:val="14"/>
        </w:numPr>
        <w:kinsoku/>
        <w:autoSpaceDE/>
        <w:autoSpaceDN w:val="0"/>
        <w:spacing w:line="330" w:lineRule="atLeast"/>
        <w:rPr>
          <w:rFonts w:hint="default" w:ascii="Arial"/>
          <w:snapToGrid/>
          <w:color w:val="505050"/>
          <w:sz w:val="18"/>
        </w:rPr>
      </w:pPr>
      <w:r>
        <w:rPr>
          <w:rFonts w:hint="default" w:ascii="Arial"/>
          <w:snapToGrid/>
          <w:color w:val="505050"/>
          <w:sz w:val="18"/>
        </w:rPr>
        <w:t>阻断任何不符合IT策略的应用程序的使用</w:t>
      </w:r>
    </w:p>
    <w:p>
      <w:pPr>
        <w:numPr>
          <w:ilvl w:val="0"/>
          <w:numId w:val="14"/>
        </w:numPr>
        <w:kinsoku/>
        <w:autoSpaceDE/>
        <w:autoSpaceDN w:val="0"/>
        <w:spacing w:line="330" w:lineRule="atLeast"/>
        <w:rPr>
          <w:rFonts w:hint="default" w:ascii="Arial"/>
          <w:snapToGrid/>
          <w:color w:val="505050"/>
          <w:sz w:val="18"/>
        </w:rPr>
      </w:pPr>
      <w:r>
        <w:rPr>
          <w:rFonts w:hint="default" w:ascii="Arial"/>
          <w:snapToGrid/>
          <w:color w:val="505050"/>
          <w:sz w:val="18"/>
        </w:rPr>
        <w:t>允许管理者自行建立和维护应用程序库，并以黑白名单机制进行管理</w:t>
      </w:r>
    </w:p>
    <w:p>
      <w:pPr>
        <w:pBdr>
          <w:bottom w:val="dashed" w:color="ACACAC" w:sz="6" w:space="3"/>
        </w:pBdr>
        <w:kinsoku/>
        <w:autoSpaceDE/>
        <w:autoSpaceDN w:val="0"/>
        <w:spacing w:line="300" w:lineRule="atLeast"/>
        <w:rPr>
          <w:rFonts w:hint="default" w:ascii="Arial"/>
          <w:b/>
          <w:snapToGrid/>
          <w:color w:val="113C8D"/>
          <w:sz w:val="21"/>
        </w:rPr>
      </w:pPr>
      <w:r>
        <w:rPr>
          <w:rFonts w:hint="default" w:ascii="Arial"/>
          <w:b/>
          <w:snapToGrid/>
          <w:color w:val="113C8D"/>
          <w:sz w:val="21"/>
        </w:rPr>
        <w:t>应用程序使用日志</w:t>
      </w:r>
    </w:p>
    <w:p>
      <w:pPr>
        <w:numPr>
          <w:ilvl w:val="0"/>
          <w:numId w:val="14"/>
        </w:numPr>
        <w:kinsoku/>
        <w:autoSpaceDE/>
        <w:autoSpaceDN w:val="0"/>
        <w:spacing w:line="330" w:lineRule="atLeast"/>
        <w:rPr>
          <w:rFonts w:hint="default" w:ascii="Arial"/>
          <w:snapToGrid/>
          <w:color w:val="505050"/>
          <w:sz w:val="18"/>
        </w:rPr>
      </w:pPr>
      <w:r>
        <w:rPr>
          <w:rFonts w:hint="default" w:ascii="Arial"/>
          <w:snapToGrid/>
          <w:color w:val="505050"/>
          <w:sz w:val="18"/>
        </w:rPr>
        <w:t>记录各种应用程序的启动与关闭时间、窗口标题等使用信息</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屏幕监视</w:t>
      </w:r>
    </w:p>
    <w:p>
      <w:pPr>
        <w:kinsoku/>
        <w:autoSpaceDE/>
        <w:autoSpaceDN w:val="0"/>
        <w:spacing w:line="300" w:lineRule="atLeast"/>
        <w:rPr>
          <w:rFonts w:hint="default" w:ascii="Arial"/>
          <w:snapToGrid/>
          <w:color w:val="323232"/>
          <w:sz w:val="18"/>
        </w:rPr>
      </w:pPr>
      <w:r>
        <w:rPr>
          <w:rFonts w:hint="default" w:ascii="Arial"/>
          <w:snapToGrid/>
          <w:color w:val="323232"/>
          <w:sz w:val="18"/>
        </w:rPr>
        <w:t>大部分的IT审计产品，只提供文字式的记录或者报表，并不能完全重现用户当时的操作行为。为了满足部分客户最严格的IT审计需求，IP-guard提供了高质量的屏幕监控功能。</w:t>
      </w:r>
    </w:p>
    <w:p>
      <w:pPr>
        <w:kinsoku/>
        <w:autoSpaceDE/>
        <w:autoSpaceDN w:val="0"/>
        <w:spacing w:line="300" w:lineRule="atLeast"/>
        <w:rPr>
          <w:rFonts w:hint="default" w:ascii="Arial"/>
          <w:snapToGrid/>
          <w:color w:val="323232"/>
          <w:sz w:val="18"/>
        </w:rPr>
      </w:pPr>
      <w:r>
        <w:rPr>
          <w:rFonts w:hint="default" w:ascii="Arial"/>
          <w:snapToGrid/>
          <w:color w:val="323232"/>
          <w:sz w:val="18"/>
        </w:rPr>
        <w:t>屏幕监控功能可以完整跟踪截取用户的桌面，最直观的重现用户的操作行为。管理员可以在控制台上察看用户的即时桌面，甚至将屏幕历史导出为视频以供查看。</w:t>
      </w:r>
    </w:p>
    <w:p>
      <w:pPr>
        <w:numPr>
          <w:ilvl w:val="0"/>
          <w:numId w:val="15"/>
        </w:numPr>
        <w:kinsoku/>
        <w:autoSpaceDE/>
        <w:autoSpaceDN w:val="0"/>
        <w:spacing w:line="330" w:lineRule="atLeast"/>
        <w:rPr>
          <w:rFonts w:hint="default" w:ascii="Arial"/>
          <w:snapToGrid/>
          <w:color w:val="505050"/>
          <w:sz w:val="18"/>
        </w:rPr>
      </w:pPr>
      <w:r>
        <w:rPr>
          <w:rFonts w:hint="default" w:ascii="Arial"/>
          <w:b/>
          <w:snapToGrid/>
          <w:color w:val="323232"/>
          <w:sz w:val="18"/>
        </w:rPr>
        <w:t>屏幕监视</w:t>
      </w:r>
      <w:r>
        <w:rPr>
          <w:rFonts w:hint="default" w:ascii="Arial"/>
          <w:snapToGrid/>
          <w:color w:val="505050"/>
          <w:sz w:val="18"/>
        </w:rPr>
        <w:t>实时查看用户的计算机屏幕画面，并能够同步跟踪</w:t>
      </w:r>
    </w:p>
    <w:p>
      <w:pPr>
        <w:numPr>
          <w:ilvl w:val="0"/>
          <w:numId w:val="15"/>
        </w:numPr>
        <w:kinsoku/>
        <w:autoSpaceDE/>
        <w:autoSpaceDN w:val="0"/>
        <w:spacing w:line="330" w:lineRule="atLeast"/>
        <w:rPr>
          <w:rFonts w:hint="default" w:ascii="Arial"/>
          <w:snapToGrid/>
          <w:color w:val="505050"/>
          <w:sz w:val="18"/>
        </w:rPr>
      </w:pPr>
      <w:r>
        <w:rPr>
          <w:rFonts w:hint="default" w:ascii="Arial"/>
          <w:snapToGrid/>
          <w:color w:val="505050"/>
          <w:sz w:val="18"/>
        </w:rPr>
        <w:t>可同时查看和跟踪多个用户的屏幕画面</w:t>
      </w:r>
    </w:p>
    <w:p>
      <w:pPr>
        <w:numPr>
          <w:ilvl w:val="0"/>
          <w:numId w:val="15"/>
        </w:numPr>
        <w:kinsoku/>
        <w:autoSpaceDE/>
        <w:autoSpaceDN w:val="0"/>
        <w:spacing w:line="330" w:lineRule="atLeast"/>
        <w:rPr>
          <w:rFonts w:hint="default" w:ascii="Arial"/>
          <w:snapToGrid/>
          <w:color w:val="505050"/>
          <w:sz w:val="18"/>
        </w:rPr>
      </w:pPr>
      <w:r>
        <w:rPr>
          <w:rFonts w:hint="default" w:ascii="Arial"/>
          <w:b/>
          <w:snapToGrid/>
          <w:color w:val="323232"/>
          <w:sz w:val="18"/>
        </w:rPr>
        <w:t>屏幕历史记录</w:t>
      </w:r>
      <w:r>
        <w:rPr>
          <w:rFonts w:hint="default" w:ascii="Arial"/>
          <w:snapToGrid/>
          <w:color w:val="505050"/>
          <w:sz w:val="18"/>
        </w:rPr>
        <w:t>按自定义时间间隔定时记录用户的屏幕</w:t>
      </w:r>
    </w:p>
    <w:p>
      <w:pPr>
        <w:numPr>
          <w:ilvl w:val="0"/>
          <w:numId w:val="15"/>
        </w:numPr>
        <w:kinsoku/>
        <w:autoSpaceDE/>
        <w:autoSpaceDN w:val="0"/>
        <w:spacing w:line="330" w:lineRule="atLeast"/>
        <w:rPr>
          <w:rFonts w:hint="default" w:ascii="Arial"/>
          <w:snapToGrid/>
          <w:color w:val="505050"/>
          <w:sz w:val="18"/>
        </w:rPr>
      </w:pPr>
      <w:r>
        <w:rPr>
          <w:rFonts w:hint="default" w:ascii="Arial"/>
          <w:snapToGrid/>
          <w:color w:val="505050"/>
          <w:sz w:val="18"/>
        </w:rPr>
        <w:t>在指定程序运行时记录用户屏幕</w:t>
      </w:r>
    </w:p>
    <w:p>
      <w:pPr>
        <w:numPr>
          <w:ilvl w:val="0"/>
          <w:numId w:val="15"/>
        </w:numPr>
        <w:kinsoku/>
        <w:autoSpaceDE/>
        <w:autoSpaceDN w:val="0"/>
        <w:spacing w:line="330" w:lineRule="atLeast"/>
        <w:rPr>
          <w:rFonts w:hint="default" w:ascii="Arial"/>
          <w:snapToGrid/>
          <w:color w:val="505050"/>
          <w:sz w:val="18"/>
        </w:rPr>
      </w:pPr>
      <w:r>
        <w:rPr>
          <w:rFonts w:hint="default" w:ascii="Arial"/>
          <w:b/>
          <w:snapToGrid/>
          <w:color w:val="323232"/>
          <w:sz w:val="18"/>
        </w:rPr>
        <w:t>屏幕历史查看</w:t>
      </w:r>
      <w:r>
        <w:rPr>
          <w:rFonts w:hint="default" w:ascii="Arial"/>
          <w:snapToGrid/>
          <w:color w:val="505050"/>
          <w:sz w:val="18"/>
        </w:rPr>
        <w:t>拖动查看指定用户在指定时间区间内的屏幕历史</w:t>
      </w:r>
    </w:p>
    <w:p>
      <w:pPr>
        <w:numPr>
          <w:ilvl w:val="0"/>
          <w:numId w:val="15"/>
        </w:numPr>
        <w:kinsoku/>
        <w:autoSpaceDE/>
        <w:autoSpaceDN w:val="0"/>
        <w:spacing w:line="330" w:lineRule="atLeast"/>
        <w:rPr>
          <w:rFonts w:hint="default" w:ascii="Arial"/>
          <w:snapToGrid/>
          <w:color w:val="505050"/>
          <w:sz w:val="18"/>
        </w:rPr>
      </w:pPr>
      <w:r>
        <w:rPr>
          <w:rFonts w:hint="default" w:ascii="Arial"/>
          <w:snapToGrid/>
          <w:color w:val="505050"/>
          <w:sz w:val="18"/>
        </w:rPr>
        <w:t>只查看用户使用指定应用程序时的屏幕历史</w:t>
      </w:r>
    </w:p>
    <w:p>
      <w:pPr>
        <w:numPr>
          <w:ilvl w:val="0"/>
          <w:numId w:val="15"/>
        </w:numPr>
        <w:kinsoku/>
        <w:autoSpaceDE/>
        <w:autoSpaceDN w:val="0"/>
        <w:spacing w:line="330" w:lineRule="atLeast"/>
        <w:rPr>
          <w:rFonts w:hint="default" w:ascii="Arial"/>
          <w:snapToGrid/>
          <w:color w:val="505050"/>
          <w:sz w:val="18"/>
        </w:rPr>
      </w:pPr>
      <w:r>
        <w:rPr>
          <w:rFonts w:hint="default" w:ascii="Arial"/>
          <w:snapToGrid/>
          <w:color w:val="505050"/>
          <w:sz w:val="18"/>
        </w:rPr>
        <w:t>点击其他日志查看对应操作的屏幕画面</w:t>
      </w:r>
    </w:p>
    <w:p>
      <w:pPr>
        <w:numPr>
          <w:ilvl w:val="0"/>
          <w:numId w:val="15"/>
        </w:numPr>
        <w:kinsoku/>
        <w:autoSpaceDE/>
        <w:autoSpaceDN w:val="0"/>
        <w:spacing w:line="330" w:lineRule="atLeast"/>
        <w:rPr>
          <w:rFonts w:hint="default" w:ascii="Arial"/>
          <w:snapToGrid/>
          <w:color w:val="505050"/>
          <w:sz w:val="18"/>
        </w:rPr>
      </w:pPr>
      <w:r>
        <w:rPr>
          <w:rFonts w:hint="default" w:ascii="Arial"/>
          <w:snapToGrid/>
          <w:color w:val="505050"/>
          <w:sz w:val="18"/>
        </w:rPr>
        <w:t>将屏幕历史导出为wmv格式视频播放</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资产管理</w:t>
      </w:r>
    </w:p>
    <w:p>
      <w:pPr>
        <w:kinsoku/>
        <w:autoSpaceDE/>
        <w:autoSpaceDN w:val="0"/>
        <w:spacing w:line="300" w:lineRule="atLeast"/>
        <w:rPr>
          <w:rFonts w:hint="default" w:ascii="Arial"/>
          <w:snapToGrid/>
          <w:color w:val="323232"/>
          <w:sz w:val="18"/>
        </w:rPr>
      </w:pPr>
      <w:r>
        <w:rPr>
          <w:rFonts w:hint="default" w:ascii="Arial"/>
          <w:snapToGrid/>
          <w:color w:val="323232"/>
          <w:sz w:val="18"/>
        </w:rPr>
        <w:t>企业规模的不断扩大，使得IT资产的种类与数量爆发性的增长，IT管理者面临着以有限的人力管理海量IT资产的困境。企业有哪些IT资产？这些资产位于哪里？变动情况如何？这些问题都困扰着IT管理人员。</w:t>
      </w:r>
    </w:p>
    <w:p>
      <w:pPr>
        <w:kinsoku/>
        <w:autoSpaceDE/>
        <w:autoSpaceDN w:val="0"/>
        <w:spacing w:line="300" w:lineRule="atLeast"/>
        <w:rPr>
          <w:rFonts w:hint="default" w:ascii="Arial"/>
          <w:snapToGrid/>
          <w:color w:val="323232"/>
          <w:sz w:val="18"/>
        </w:rPr>
      </w:pPr>
      <w:r>
        <w:rPr>
          <w:rFonts w:hint="default" w:ascii="Arial"/>
          <w:snapToGrid/>
          <w:color w:val="323232"/>
          <w:sz w:val="18"/>
        </w:rPr>
        <w:t>IP-guard资产管理模块，可以帮助IT管理员自动收集、统计网络中的软硬件IT资产信息，输出资产报表并实时监测资产变动。另外，IP-guard还提供补丁与漏洞管理工具，方便管理员及时修复最新的漏洞，内置的软件分发功能还能让软件部署更加方便快捷。</w:t>
      </w:r>
    </w:p>
    <w:p>
      <w:pPr>
        <w:numPr>
          <w:ilvl w:val="0"/>
          <w:numId w:val="16"/>
        </w:numPr>
        <w:kinsoku/>
        <w:autoSpaceDE/>
        <w:autoSpaceDN w:val="0"/>
        <w:spacing w:line="330" w:lineRule="atLeast"/>
        <w:rPr>
          <w:rFonts w:hint="default" w:ascii="Arial"/>
          <w:snapToGrid/>
          <w:color w:val="505050"/>
          <w:sz w:val="18"/>
        </w:rPr>
      </w:pPr>
      <w:r>
        <w:rPr>
          <w:rFonts w:hint="default" w:ascii="Arial"/>
          <w:b/>
          <w:snapToGrid/>
          <w:color w:val="323232"/>
          <w:sz w:val="18"/>
        </w:rPr>
        <w:t>IT资产管理</w:t>
      </w:r>
      <w:r>
        <w:rPr>
          <w:rFonts w:hint="default" w:ascii="Arial"/>
          <w:snapToGrid/>
          <w:color w:val="505050"/>
          <w:sz w:val="18"/>
        </w:rPr>
        <w:t>自动收集内网计算机的各项软硬件信息</w:t>
      </w:r>
    </w:p>
    <w:p>
      <w:pPr>
        <w:numPr>
          <w:ilvl w:val="0"/>
          <w:numId w:val="16"/>
        </w:numPr>
        <w:kinsoku/>
        <w:autoSpaceDE/>
        <w:autoSpaceDN w:val="0"/>
        <w:spacing w:line="330" w:lineRule="atLeast"/>
        <w:rPr>
          <w:rFonts w:hint="default" w:ascii="Arial"/>
          <w:snapToGrid/>
          <w:color w:val="505050"/>
          <w:sz w:val="18"/>
        </w:rPr>
      </w:pPr>
      <w:r>
        <w:rPr>
          <w:rFonts w:hint="default" w:ascii="Arial"/>
          <w:snapToGrid/>
          <w:color w:val="505050"/>
          <w:sz w:val="18"/>
        </w:rPr>
        <w:t>支持以多种参数对网内IT资产进行查询</w:t>
      </w:r>
    </w:p>
    <w:p>
      <w:pPr>
        <w:numPr>
          <w:ilvl w:val="0"/>
          <w:numId w:val="16"/>
        </w:numPr>
        <w:kinsoku/>
        <w:autoSpaceDE/>
        <w:autoSpaceDN w:val="0"/>
        <w:spacing w:line="330" w:lineRule="atLeast"/>
        <w:rPr>
          <w:rFonts w:hint="default" w:ascii="Arial"/>
          <w:snapToGrid/>
          <w:color w:val="505050"/>
          <w:sz w:val="18"/>
        </w:rPr>
      </w:pPr>
      <w:r>
        <w:rPr>
          <w:rFonts w:hint="default" w:ascii="Arial"/>
          <w:snapToGrid/>
          <w:color w:val="505050"/>
          <w:sz w:val="18"/>
        </w:rPr>
        <w:t>内建IT资产报表输出功能</w:t>
      </w:r>
    </w:p>
    <w:p>
      <w:pPr>
        <w:numPr>
          <w:ilvl w:val="0"/>
          <w:numId w:val="16"/>
        </w:numPr>
        <w:kinsoku/>
        <w:autoSpaceDE/>
        <w:autoSpaceDN w:val="0"/>
        <w:spacing w:line="330" w:lineRule="atLeast"/>
        <w:rPr>
          <w:rFonts w:hint="default" w:ascii="Arial"/>
          <w:snapToGrid/>
          <w:color w:val="505050"/>
          <w:sz w:val="18"/>
        </w:rPr>
      </w:pPr>
      <w:r>
        <w:rPr>
          <w:rFonts w:hint="default" w:ascii="Arial"/>
          <w:b/>
          <w:snapToGrid/>
          <w:color w:val="323232"/>
          <w:sz w:val="18"/>
        </w:rPr>
        <w:t>IT资产变动监测</w:t>
      </w:r>
      <w:r>
        <w:rPr>
          <w:rFonts w:hint="default" w:ascii="Arial"/>
          <w:snapToGrid/>
          <w:color w:val="505050"/>
          <w:sz w:val="18"/>
        </w:rPr>
        <w:t>客户端计算机软、硬件配置发生变动时，即时报警告知管理员</w:t>
      </w:r>
    </w:p>
    <w:p>
      <w:pPr>
        <w:numPr>
          <w:ilvl w:val="0"/>
          <w:numId w:val="16"/>
        </w:numPr>
        <w:kinsoku/>
        <w:autoSpaceDE/>
        <w:autoSpaceDN w:val="0"/>
        <w:spacing w:line="330" w:lineRule="atLeast"/>
        <w:rPr>
          <w:rFonts w:hint="default" w:ascii="Arial"/>
          <w:snapToGrid/>
          <w:color w:val="505050"/>
          <w:sz w:val="18"/>
        </w:rPr>
      </w:pPr>
      <w:r>
        <w:rPr>
          <w:rFonts w:hint="default" w:ascii="Arial"/>
          <w:b/>
          <w:snapToGrid/>
          <w:color w:val="323232"/>
          <w:sz w:val="18"/>
        </w:rPr>
        <w:t>系统补丁与漏洞管理</w:t>
      </w:r>
      <w:r>
        <w:rPr>
          <w:rFonts w:hint="default" w:ascii="Arial"/>
          <w:snapToGrid/>
          <w:color w:val="505050"/>
          <w:sz w:val="18"/>
        </w:rPr>
        <w:t>自动检测网内计算机的各版本最新Windows补丁安装状态</w:t>
      </w:r>
    </w:p>
    <w:p>
      <w:pPr>
        <w:numPr>
          <w:ilvl w:val="0"/>
          <w:numId w:val="16"/>
        </w:numPr>
        <w:kinsoku/>
        <w:autoSpaceDE/>
        <w:autoSpaceDN w:val="0"/>
        <w:spacing w:line="330" w:lineRule="atLeast"/>
        <w:rPr>
          <w:rFonts w:hint="default" w:ascii="Arial"/>
          <w:snapToGrid/>
          <w:color w:val="505050"/>
          <w:sz w:val="18"/>
        </w:rPr>
      </w:pPr>
      <w:r>
        <w:rPr>
          <w:rFonts w:hint="default" w:ascii="Arial"/>
          <w:snapToGrid/>
          <w:color w:val="505050"/>
          <w:sz w:val="18"/>
        </w:rPr>
        <w:t>为计算机统一分发安装补丁，实现类似WSUS的补丁管理功能</w:t>
      </w:r>
    </w:p>
    <w:p>
      <w:pPr>
        <w:numPr>
          <w:ilvl w:val="0"/>
          <w:numId w:val="16"/>
        </w:numPr>
        <w:kinsoku/>
        <w:autoSpaceDE/>
        <w:autoSpaceDN w:val="0"/>
        <w:spacing w:line="330" w:lineRule="atLeast"/>
        <w:rPr>
          <w:rFonts w:hint="default" w:ascii="Arial"/>
          <w:snapToGrid/>
          <w:color w:val="505050"/>
          <w:sz w:val="18"/>
        </w:rPr>
      </w:pPr>
      <w:r>
        <w:rPr>
          <w:rFonts w:hint="default" w:ascii="Arial"/>
          <w:snapToGrid/>
          <w:color w:val="505050"/>
          <w:sz w:val="18"/>
        </w:rPr>
        <w:t>检查网内计算机是否有常见安全漏洞，并给出修复建议</w:t>
      </w:r>
    </w:p>
    <w:p>
      <w:pPr>
        <w:numPr>
          <w:ilvl w:val="0"/>
          <w:numId w:val="16"/>
        </w:numPr>
        <w:kinsoku/>
        <w:autoSpaceDE/>
        <w:autoSpaceDN w:val="0"/>
        <w:spacing w:line="330" w:lineRule="atLeast"/>
        <w:rPr>
          <w:rFonts w:hint="default" w:ascii="Arial"/>
          <w:snapToGrid/>
          <w:color w:val="505050"/>
          <w:sz w:val="18"/>
        </w:rPr>
      </w:pPr>
      <w:r>
        <w:rPr>
          <w:rFonts w:hint="default" w:ascii="Arial"/>
          <w:b/>
          <w:snapToGrid/>
          <w:color w:val="323232"/>
          <w:sz w:val="18"/>
        </w:rPr>
        <w:t>软件分发</w:t>
      </w:r>
      <w:r>
        <w:rPr>
          <w:rFonts w:hint="default" w:ascii="Arial"/>
          <w:snapToGrid/>
          <w:color w:val="505050"/>
          <w:sz w:val="18"/>
        </w:rPr>
        <w:t>允许管理员制作软件安装包并分发到网内计算机自动安装，方便软件部署或脚本执行。</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33"/>
        </w:rPr>
        <w:t>远程维护</w:t>
      </w:r>
    </w:p>
    <w:p>
      <w:pPr>
        <w:kinsoku/>
        <w:autoSpaceDE/>
        <w:autoSpaceDN w:val="0"/>
        <w:spacing w:line="300" w:lineRule="atLeast"/>
        <w:rPr>
          <w:rFonts w:hint="default" w:ascii="Arial"/>
          <w:snapToGrid/>
          <w:color w:val="323232"/>
          <w:sz w:val="18"/>
        </w:rPr>
      </w:pPr>
      <w:r>
        <w:rPr>
          <w:rFonts w:hint="default" w:ascii="Arial"/>
          <w:snapToGrid/>
          <w:color w:val="323232"/>
          <w:sz w:val="18"/>
        </w:rPr>
        <w:t>规模迅速膨胀的IT系统，不断增加的终端和网络设备，不断出现的各种故障，使得IT管理人员疲于奔命，太多的精力浪费在重复的简单运维过程中，无法抽身提升整体的IT系统。</w:t>
      </w:r>
    </w:p>
    <w:p>
      <w:pPr>
        <w:kinsoku/>
        <w:autoSpaceDE/>
        <w:autoSpaceDN w:val="0"/>
        <w:spacing w:line="300" w:lineRule="atLeast"/>
        <w:rPr>
          <w:rFonts w:hint="default" w:ascii="Arial"/>
          <w:snapToGrid/>
          <w:color w:val="323232"/>
          <w:sz w:val="18"/>
        </w:rPr>
      </w:pPr>
      <w:r>
        <w:rPr>
          <w:rFonts w:hint="default" w:ascii="Arial"/>
          <w:snapToGrid/>
          <w:color w:val="323232"/>
          <w:sz w:val="18"/>
        </w:rPr>
        <w:t>IP-guard远程维护功能，则为IT管理员提供了在单一控制台上远程诊断和维护网内任何计算机的方便工具，减轻IT管理员的工作负担，同时让IT系统更加健康的运行。</w:t>
      </w:r>
    </w:p>
    <w:p>
      <w:pPr>
        <w:numPr>
          <w:ilvl w:val="0"/>
          <w:numId w:val="17"/>
        </w:numPr>
        <w:kinsoku/>
        <w:autoSpaceDE/>
        <w:autoSpaceDN w:val="0"/>
        <w:spacing w:line="330" w:lineRule="atLeast"/>
        <w:rPr>
          <w:rFonts w:hint="default" w:ascii="Arial"/>
          <w:snapToGrid/>
          <w:color w:val="505050"/>
          <w:sz w:val="18"/>
        </w:rPr>
      </w:pPr>
      <w:r>
        <w:rPr>
          <w:rFonts w:hint="default" w:ascii="Arial"/>
          <w:b/>
          <w:snapToGrid/>
          <w:color w:val="323232"/>
          <w:sz w:val="18"/>
        </w:rPr>
        <w:t>远程计算机诊断</w:t>
      </w:r>
      <w:r>
        <w:rPr>
          <w:rFonts w:hint="default" w:ascii="Arial"/>
          <w:snapToGrid/>
          <w:color w:val="505050"/>
          <w:sz w:val="18"/>
        </w:rPr>
        <w:t xml:space="preserve">像在本地一样在控制台远程查看计算机的相关信息，方便进行故障查看与诊断,包括： </w:t>
      </w:r>
    </w:p>
    <w:p>
      <w:pPr>
        <w:numPr>
          <w:ilvl w:val="1"/>
          <w:numId w:val="17"/>
        </w:numPr>
        <w:kinsoku/>
        <w:autoSpaceDE/>
        <w:autoSpaceDN w:val="0"/>
        <w:spacing w:line="330" w:lineRule="atLeast"/>
        <w:rPr>
          <w:rFonts w:hint="default" w:ascii="Arial"/>
          <w:snapToGrid/>
          <w:color w:val="505050"/>
          <w:sz w:val="18"/>
        </w:rPr>
      </w:pPr>
      <w:r>
        <w:rPr>
          <w:rFonts w:hint="default" w:ascii="Arial"/>
          <w:snapToGrid/>
          <w:color w:val="505050"/>
          <w:sz w:val="18"/>
        </w:rPr>
        <w:t>正在运行的程序、进程</w:t>
      </w:r>
    </w:p>
    <w:p>
      <w:pPr>
        <w:numPr>
          <w:ilvl w:val="1"/>
          <w:numId w:val="17"/>
        </w:numPr>
        <w:kinsoku/>
        <w:autoSpaceDE/>
        <w:autoSpaceDN w:val="0"/>
        <w:spacing w:line="330" w:lineRule="atLeast"/>
        <w:rPr>
          <w:rFonts w:hint="default" w:ascii="Arial"/>
          <w:snapToGrid/>
          <w:color w:val="505050"/>
          <w:sz w:val="18"/>
        </w:rPr>
      </w:pPr>
      <w:r>
        <w:rPr>
          <w:rFonts w:hint="default" w:ascii="Arial"/>
          <w:snapToGrid/>
          <w:color w:val="505050"/>
          <w:sz w:val="18"/>
        </w:rPr>
        <w:t>性能、设备管理</w:t>
      </w:r>
    </w:p>
    <w:p>
      <w:pPr>
        <w:numPr>
          <w:ilvl w:val="1"/>
          <w:numId w:val="17"/>
        </w:numPr>
        <w:kinsoku/>
        <w:autoSpaceDE/>
        <w:autoSpaceDN w:val="0"/>
        <w:spacing w:line="330" w:lineRule="atLeast"/>
        <w:rPr>
          <w:rFonts w:hint="default" w:ascii="Arial"/>
          <w:snapToGrid/>
          <w:color w:val="505050"/>
          <w:sz w:val="18"/>
        </w:rPr>
      </w:pPr>
      <w:r>
        <w:rPr>
          <w:rFonts w:hint="default" w:ascii="Arial"/>
          <w:snapToGrid/>
          <w:color w:val="505050"/>
          <w:sz w:val="18"/>
        </w:rPr>
        <w:t>系统服务、磁盘管理</w:t>
      </w:r>
    </w:p>
    <w:p>
      <w:pPr>
        <w:numPr>
          <w:ilvl w:val="1"/>
          <w:numId w:val="17"/>
        </w:numPr>
        <w:kinsoku/>
        <w:autoSpaceDE/>
        <w:autoSpaceDN w:val="0"/>
        <w:spacing w:line="330" w:lineRule="atLeast"/>
        <w:rPr>
          <w:rFonts w:hint="default" w:ascii="Arial"/>
          <w:snapToGrid/>
          <w:color w:val="505050"/>
          <w:sz w:val="18"/>
        </w:rPr>
      </w:pPr>
      <w:r>
        <w:rPr>
          <w:rFonts w:hint="default" w:ascii="Arial"/>
          <w:snapToGrid/>
          <w:color w:val="505050"/>
          <w:sz w:val="18"/>
        </w:rPr>
        <w:t>共享文件夹、计划任务</w:t>
      </w:r>
    </w:p>
    <w:p>
      <w:pPr>
        <w:numPr>
          <w:ilvl w:val="1"/>
          <w:numId w:val="17"/>
        </w:numPr>
        <w:kinsoku/>
        <w:autoSpaceDE/>
        <w:autoSpaceDN w:val="0"/>
        <w:spacing w:line="330" w:lineRule="atLeast"/>
        <w:rPr>
          <w:rFonts w:hint="default" w:ascii="Arial"/>
          <w:snapToGrid/>
          <w:color w:val="505050"/>
          <w:sz w:val="18"/>
        </w:rPr>
      </w:pPr>
      <w:r>
        <w:rPr>
          <w:rFonts w:hint="default" w:ascii="Arial"/>
          <w:snapToGrid/>
          <w:color w:val="505050"/>
          <w:sz w:val="18"/>
        </w:rPr>
        <w:t>用户和组</w:t>
      </w:r>
    </w:p>
    <w:p>
      <w:pPr>
        <w:numPr>
          <w:ilvl w:val="0"/>
          <w:numId w:val="17"/>
        </w:numPr>
        <w:kinsoku/>
        <w:autoSpaceDE/>
        <w:autoSpaceDN w:val="0"/>
        <w:spacing w:line="330" w:lineRule="atLeast"/>
        <w:rPr>
          <w:rFonts w:hint="default" w:ascii="Arial"/>
          <w:snapToGrid/>
          <w:color w:val="505050"/>
          <w:sz w:val="18"/>
        </w:rPr>
      </w:pPr>
      <w:r>
        <w:rPr>
          <w:rFonts w:hint="default" w:ascii="Arial"/>
          <w:snapToGrid/>
          <w:color w:val="505050"/>
          <w:sz w:val="18"/>
        </w:rPr>
        <w:t>允许对上述计算机管理工具进行操作，如禁用设备、结束进程等</w:t>
      </w:r>
    </w:p>
    <w:p>
      <w:pPr>
        <w:numPr>
          <w:ilvl w:val="0"/>
          <w:numId w:val="17"/>
        </w:numPr>
        <w:kinsoku/>
        <w:autoSpaceDE/>
        <w:autoSpaceDN w:val="0"/>
        <w:spacing w:line="330" w:lineRule="atLeast"/>
        <w:rPr>
          <w:rFonts w:hint="default" w:ascii="Arial"/>
          <w:snapToGrid/>
          <w:color w:val="505050"/>
          <w:sz w:val="18"/>
        </w:rPr>
      </w:pPr>
      <w:r>
        <w:rPr>
          <w:rFonts w:hint="default" w:ascii="Arial"/>
          <w:b/>
          <w:snapToGrid/>
          <w:color w:val="323232"/>
          <w:sz w:val="18"/>
        </w:rPr>
        <w:t>远程维护</w:t>
      </w:r>
      <w:r>
        <w:rPr>
          <w:rFonts w:hint="default" w:ascii="Arial"/>
          <w:snapToGrid/>
          <w:color w:val="505050"/>
          <w:sz w:val="18"/>
        </w:rPr>
        <w:t>允许管理员远程连接客户端计算机桌面直接进行操作</w:t>
      </w:r>
    </w:p>
    <w:p>
      <w:pPr>
        <w:numPr>
          <w:ilvl w:val="0"/>
          <w:numId w:val="17"/>
        </w:numPr>
        <w:kinsoku/>
        <w:autoSpaceDE/>
        <w:autoSpaceDN w:val="0"/>
        <w:spacing w:line="330" w:lineRule="atLeast"/>
        <w:rPr>
          <w:rFonts w:hint="default" w:ascii="Arial"/>
          <w:snapToGrid/>
          <w:color w:val="505050"/>
          <w:sz w:val="18"/>
        </w:rPr>
      </w:pPr>
      <w:r>
        <w:rPr>
          <w:rFonts w:hint="default" w:ascii="Arial"/>
          <w:snapToGrid/>
          <w:color w:val="505050"/>
          <w:sz w:val="18"/>
        </w:rPr>
        <w:t>支持密码授权与弹出授权两种授权方式，更加安全</w:t>
      </w:r>
    </w:p>
    <w:p>
      <w:pPr>
        <w:kinsoku/>
        <w:autoSpaceDE/>
        <w:autoSpaceDN w:val="0"/>
        <w:spacing w:after="375" w:afterLines="0" w:line="375" w:lineRule="atLeast"/>
        <w:rPr>
          <w:rFonts w:hint="default" w:ascii="Arial"/>
          <w:b/>
          <w:snapToGrid/>
          <w:color w:val="323232"/>
          <w:sz w:val="33"/>
        </w:rPr>
      </w:pPr>
      <w:r>
        <w:rPr>
          <w:rFonts w:hint="default" w:ascii="Arial"/>
          <w:b/>
          <w:snapToGrid/>
          <w:color w:val="323232"/>
          <w:sz w:val="18"/>
        </w:rPr>
        <w:t>双向</w:t>
      </w:r>
      <w:r>
        <w:rPr>
          <w:rFonts w:hint="default" w:ascii="Arial"/>
          <w:b/>
          <w:snapToGrid/>
          <w:color w:val="323232"/>
          <w:sz w:val="33"/>
        </w:rPr>
        <w:t>基本功能</w:t>
      </w:r>
    </w:p>
    <w:p>
      <w:pPr>
        <w:kinsoku/>
        <w:autoSpaceDE/>
        <w:autoSpaceDN w:val="0"/>
        <w:spacing w:line="300" w:lineRule="atLeast"/>
        <w:rPr>
          <w:rFonts w:hint="default" w:ascii="Arial"/>
          <w:snapToGrid/>
          <w:color w:val="323232"/>
          <w:sz w:val="18"/>
        </w:rPr>
      </w:pPr>
      <w:r>
        <w:rPr>
          <w:rFonts w:hint="default" w:ascii="Arial"/>
          <w:snapToGrid/>
          <w:color w:val="323232"/>
          <w:sz w:val="18"/>
        </w:rPr>
        <w:t>作为IP-guard内网安全整体解决方案的基础框架，基本模块定义了IP-guard的整体产品结构。不仅如此，它还提供了丰富的管理功能，如客户端计算机的基本控制、计算机基本配置管理、报警与警告、日志与报表统计等，为管理员在单一控制台上集中管理网内的计算机提供了基础。</w:t>
      </w:r>
    </w:p>
    <w:p>
      <w:pPr>
        <w:numPr>
          <w:ilvl w:val="0"/>
          <w:numId w:val="18"/>
        </w:numPr>
        <w:kinsoku/>
        <w:autoSpaceDE/>
        <w:autoSpaceDN w:val="0"/>
        <w:spacing w:line="330" w:lineRule="atLeast"/>
        <w:rPr>
          <w:rFonts w:hint="default" w:ascii="Arial"/>
          <w:snapToGrid/>
          <w:color w:val="505050"/>
          <w:sz w:val="18"/>
        </w:rPr>
      </w:pPr>
      <w:r>
        <w:rPr>
          <w:rFonts w:hint="default" w:ascii="Arial"/>
          <w:b/>
          <w:snapToGrid/>
          <w:color w:val="323232"/>
          <w:sz w:val="18"/>
        </w:rPr>
        <w:t>计算机与用户管理</w:t>
      </w:r>
      <w:r>
        <w:rPr>
          <w:rFonts w:hint="default" w:ascii="Arial"/>
          <w:snapToGrid/>
          <w:color w:val="505050"/>
          <w:sz w:val="18"/>
        </w:rPr>
        <w:t>按计算机或用户查看已经安装客户端的计算机</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为网内的计算机划分不同的组别以便于管理</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查找、重命名、移动计算机到指定的用户组</w:t>
      </w:r>
    </w:p>
    <w:p>
      <w:pPr>
        <w:numPr>
          <w:ilvl w:val="0"/>
          <w:numId w:val="18"/>
        </w:numPr>
        <w:kinsoku/>
        <w:autoSpaceDE/>
        <w:autoSpaceDN w:val="0"/>
        <w:spacing w:line="330" w:lineRule="atLeast"/>
        <w:rPr>
          <w:rFonts w:hint="default" w:ascii="Arial"/>
          <w:snapToGrid/>
          <w:color w:val="505050"/>
          <w:sz w:val="18"/>
        </w:rPr>
      </w:pPr>
      <w:r>
        <w:rPr>
          <w:rFonts w:hint="default" w:ascii="Arial"/>
          <w:b/>
          <w:snapToGrid/>
          <w:color w:val="323232"/>
          <w:sz w:val="18"/>
        </w:rPr>
        <w:t>基本控制</w:t>
      </w:r>
      <w:r>
        <w:rPr>
          <w:rFonts w:hint="default" w:ascii="Arial"/>
          <w:snapToGrid/>
          <w:color w:val="505050"/>
          <w:sz w:val="18"/>
        </w:rPr>
        <w:t>集中向指定用户发送桌面通知消息</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锁定、解锁、注销、关闭、重启指定客户端计算机</w:t>
      </w:r>
    </w:p>
    <w:p>
      <w:pPr>
        <w:numPr>
          <w:ilvl w:val="0"/>
          <w:numId w:val="18"/>
        </w:numPr>
        <w:kinsoku/>
        <w:autoSpaceDE/>
        <w:autoSpaceDN w:val="0"/>
        <w:spacing w:line="330" w:lineRule="atLeast"/>
        <w:rPr>
          <w:rFonts w:hint="default" w:ascii="Arial"/>
          <w:snapToGrid/>
          <w:color w:val="505050"/>
          <w:sz w:val="18"/>
        </w:rPr>
      </w:pPr>
      <w:r>
        <w:rPr>
          <w:rFonts w:hint="default" w:ascii="Arial"/>
          <w:b/>
          <w:snapToGrid/>
          <w:color w:val="323232"/>
          <w:sz w:val="18"/>
        </w:rPr>
        <w:t>计算机基本配置策略</w:t>
      </w:r>
      <w:r>
        <w:rPr>
          <w:rFonts w:hint="default" w:ascii="Arial"/>
          <w:snapToGrid/>
          <w:color w:val="505050"/>
          <w:sz w:val="18"/>
        </w:rPr>
        <w:t>禁用/启用控制面板</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禁用/启用设备管理器、服务管理、磁盘管理、本地用户和组</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禁用/启用任务管理器、注册表编辑器、命令提示符等</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禁用/启用网上邻居、网络属性、Internet选项、网络共享</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禁用/启用Active X</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禁用/启用Printscreen、系统还原、自动更新</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IP/Mac绑定</w:t>
      </w:r>
    </w:p>
    <w:p>
      <w:pPr>
        <w:numPr>
          <w:ilvl w:val="0"/>
          <w:numId w:val="18"/>
        </w:numPr>
        <w:kinsoku/>
        <w:autoSpaceDE/>
        <w:autoSpaceDN w:val="0"/>
        <w:spacing w:line="330" w:lineRule="atLeast"/>
        <w:rPr>
          <w:rFonts w:hint="default" w:ascii="Arial"/>
          <w:snapToGrid/>
          <w:color w:val="505050"/>
          <w:sz w:val="18"/>
        </w:rPr>
      </w:pPr>
      <w:r>
        <w:rPr>
          <w:rFonts w:hint="default" w:ascii="Arial"/>
          <w:b/>
          <w:snapToGrid/>
          <w:color w:val="323232"/>
          <w:sz w:val="18"/>
        </w:rPr>
        <w:t>实时报警与警告</w:t>
      </w:r>
      <w:r>
        <w:rPr>
          <w:rFonts w:hint="default" w:ascii="Arial"/>
          <w:snapToGrid/>
          <w:color w:val="505050"/>
          <w:sz w:val="18"/>
        </w:rPr>
        <w:t>当用户触发策略时，如非法变更软硬件设备、使用非法移动存储、非法复制/删除文件等，即时在控制台弹出气泡报警消息告知管理员</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当用户触发策略时，在用户端弹出警告窗口显示预先设定的警告信息</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当用户出发策略时，必要情况下实时阻断用户触发安全策略的非法操作并锁定计算机</w:t>
      </w:r>
    </w:p>
    <w:p>
      <w:pPr>
        <w:numPr>
          <w:ilvl w:val="0"/>
          <w:numId w:val="18"/>
        </w:numPr>
        <w:kinsoku/>
        <w:autoSpaceDE/>
        <w:autoSpaceDN w:val="0"/>
        <w:spacing w:line="330" w:lineRule="atLeast"/>
        <w:rPr>
          <w:rFonts w:hint="default" w:ascii="Arial"/>
          <w:snapToGrid/>
          <w:color w:val="505050"/>
          <w:sz w:val="18"/>
        </w:rPr>
      </w:pPr>
      <w:r>
        <w:rPr>
          <w:rFonts w:hint="default" w:ascii="Arial"/>
          <w:b/>
          <w:snapToGrid/>
          <w:color w:val="323232"/>
          <w:sz w:val="18"/>
        </w:rPr>
        <w:t>策略综览</w:t>
      </w:r>
      <w:r>
        <w:rPr>
          <w:rFonts w:hint="default" w:ascii="Arial"/>
          <w:snapToGrid/>
          <w:color w:val="505050"/>
          <w:sz w:val="18"/>
        </w:rPr>
        <w:t>综合显示客户端计算机目前所配置的安全策略</w:t>
      </w:r>
    </w:p>
    <w:p>
      <w:pPr>
        <w:numPr>
          <w:ilvl w:val="0"/>
          <w:numId w:val="18"/>
        </w:numPr>
        <w:kinsoku/>
        <w:autoSpaceDE/>
        <w:autoSpaceDN w:val="0"/>
        <w:spacing w:line="330" w:lineRule="atLeast"/>
        <w:rPr>
          <w:rFonts w:hint="default" w:ascii="Arial"/>
          <w:snapToGrid/>
          <w:color w:val="505050"/>
          <w:sz w:val="18"/>
        </w:rPr>
      </w:pPr>
      <w:r>
        <w:rPr>
          <w:rFonts w:hint="default" w:ascii="Arial"/>
          <w:snapToGrid/>
          <w:color w:val="505050"/>
          <w:sz w:val="18"/>
        </w:rPr>
        <w:t>记录用户触发策略的全部日志信息</w:t>
      </w:r>
    </w:p>
    <w:p>
      <w:pPr>
        <w:numPr>
          <w:ilvl w:val="0"/>
          <w:numId w:val="17"/>
        </w:numPr>
        <w:kinsoku/>
        <w:autoSpaceDE/>
        <w:autoSpaceDN w:val="0"/>
        <w:spacing w:line="330" w:lineRule="atLeast"/>
        <w:rPr>
          <w:rFonts w:hint="default" w:ascii="Arial"/>
          <w:snapToGrid/>
          <w:color w:val="505050"/>
          <w:sz w:val="18"/>
        </w:rPr>
      </w:pPr>
      <w:r>
        <w:rPr>
          <w:rFonts w:hint="default" w:ascii="Arial"/>
          <w:b/>
          <w:snapToGrid/>
          <w:color w:val="323232"/>
          <w:sz w:val="18"/>
        </w:rPr>
        <w:t>文件传送</w:t>
      </w:r>
      <w:r>
        <w:rPr>
          <w:rFonts w:hint="default" w:ascii="Arial"/>
          <w:snapToGrid/>
          <w:color w:val="505050"/>
          <w:sz w:val="18"/>
        </w:rPr>
        <w:t>允许管理员像操作FTP一样在本机和远程计算机之间进行双向文件传递，便于收集信息</w:t>
      </w:r>
    </w:p>
    <w:p>
      <w:pPr>
        <w:numPr>
          <w:ilvl w:val="0"/>
          <w:numId w:val="8"/>
        </w:numPr>
        <w:kinsoku/>
        <w:autoSpaceDE/>
        <w:autoSpaceDN w:val="0"/>
        <w:spacing w:line="330" w:lineRule="atLeast"/>
        <w:rPr>
          <w:rFonts w:hint="default" w:ascii="Arial"/>
          <w:snapToGrid/>
          <w:color w:val="FF0000"/>
          <w:sz w:val="18"/>
        </w:rPr>
      </w:pPr>
      <w:r>
        <w:rPr>
          <w:rFonts w:hint="eastAsia" w:ascii="Arial"/>
          <w:snapToGrid/>
          <w:color w:val="FF0000"/>
          <w:sz w:val="18"/>
          <w:lang w:eastAsia="zh-CN"/>
        </w:rPr>
        <w:t>２</w:t>
      </w:r>
      <w:r>
        <w:rPr>
          <w:rFonts w:hint="eastAsia" w:ascii="Arial"/>
          <w:snapToGrid/>
          <w:color w:val="FF0000"/>
          <w:sz w:val="18"/>
          <w:lang w:val="en-US" w:eastAsia="zh-CN"/>
        </w:rPr>
        <w:t>.系统架构</w:t>
      </w:r>
    </w:p>
    <w:p>
      <w:pPr>
        <w:kinsoku/>
        <w:autoSpaceDE/>
        <w:autoSpaceDN w:val="0"/>
        <w:spacing w:after="225" w:afterLines="0" w:line="375" w:lineRule="atLeast"/>
        <w:rPr>
          <w:rFonts w:hint="default" w:ascii="Arial"/>
          <w:b/>
          <w:snapToGrid/>
          <w:color w:val="323232"/>
          <w:sz w:val="33"/>
        </w:rPr>
      </w:pPr>
      <w:r>
        <w:rPr>
          <w:rFonts w:hint="default" w:ascii="Arial"/>
          <w:b/>
          <w:snapToGrid/>
          <w:color w:val="323232"/>
          <w:sz w:val="33"/>
        </w:rPr>
        <w:t>系统架构</w:t>
      </w:r>
    </w:p>
    <w:p>
      <w:pPr>
        <w:kinsoku/>
        <w:autoSpaceDE/>
        <w:autoSpaceDN w:val="0"/>
        <w:spacing w:line="300" w:lineRule="atLeast"/>
        <w:rPr>
          <w:rFonts w:hint="default" w:ascii="Arial"/>
          <w:snapToGrid/>
          <w:color w:val="323232"/>
          <w:sz w:val="18"/>
        </w:rPr>
      </w:pPr>
      <w:r>
        <w:rPr>
          <w:rFonts w:hint="default" w:ascii="Arial"/>
          <w:snapToGrid/>
          <w:color w:val="323232"/>
          <w:sz w:val="18"/>
        </w:rPr>
        <w:t>IP-guard基本系统由三个模块组成，客户端模块、服务器模块和控制台模块，用户可根据管理的需要将它们安装在网络中的计算机上。</w:t>
      </w:r>
      <w:r>
        <w:rPr>
          <w:rFonts w:hint="default" w:ascii="Arial"/>
          <w:snapToGrid/>
          <w:color w:val="323232"/>
          <w:sz w:val="18"/>
        </w:rPr>
        <w:cr/>
      </w:r>
      <w:r>
        <w:rPr>
          <w:rFonts w:hint="default" w:ascii="Arial"/>
          <w:snapToGrid/>
          <w:color w:val="323232"/>
          <w:sz w:val="18"/>
        </w:rPr>
        <w:t>客户端模块用于收集数据和执行系统管理策略，安装在每台需要被管理的计算机上；</w:t>
      </w:r>
      <w:r>
        <w:rPr>
          <w:rFonts w:hint="default" w:ascii="Arial"/>
          <w:snapToGrid/>
          <w:color w:val="323232"/>
          <w:sz w:val="18"/>
        </w:rPr>
        <w:cr/>
      </w:r>
      <w:r>
        <w:rPr>
          <w:rFonts w:hint="default" w:ascii="Arial"/>
          <w:snapToGrid/>
          <w:color w:val="323232"/>
          <w:sz w:val="18"/>
        </w:rPr>
        <w:t>服务器模块用于存储系统数据和管理规则策略，一般安装在性能较高、存储容量较大的计算机上；</w:t>
      </w:r>
      <w:r>
        <w:rPr>
          <w:rFonts w:hint="default" w:ascii="Arial"/>
          <w:snapToGrid/>
          <w:color w:val="323232"/>
          <w:sz w:val="18"/>
        </w:rPr>
        <w:cr/>
      </w:r>
      <w:r>
        <w:rPr>
          <w:rFonts w:hint="default" w:ascii="Arial"/>
          <w:snapToGrid/>
          <w:color w:val="323232"/>
          <w:sz w:val="18"/>
        </w:rPr>
        <w:t>控制台模块用于查看管理数据、设定管理策略和进行实时维护，一般安装在企业相关管理人员的计算机上，也可以和服务器模块安装在同一台计算机上。</w:t>
      </w:r>
    </w:p>
    <w:p>
      <w:pPr>
        <w:pBdr>
          <w:bottom w:val="dashed" w:color="ACACAC" w:sz="6" w:space="3"/>
        </w:pBdr>
        <w:kinsoku/>
        <w:autoSpaceDE/>
        <w:autoSpaceDN w:val="0"/>
        <w:spacing w:before="300" w:beforeLines="0" w:after="180" w:afterLines="0" w:line="300" w:lineRule="atLeast"/>
        <w:rPr>
          <w:rFonts w:hint="default" w:ascii="Arial"/>
          <w:b/>
          <w:snapToGrid/>
          <w:color w:val="113C8D"/>
          <w:sz w:val="21"/>
        </w:rPr>
      </w:pPr>
      <w:r>
        <w:rPr>
          <w:rFonts w:hint="default" w:ascii="Arial"/>
          <w:b/>
          <w:snapToGrid/>
          <w:color w:val="113C8D"/>
          <w:sz w:val="21"/>
        </w:rPr>
        <w:t>系统基本框架</w:t>
      </w:r>
    </w:p>
    <w:p>
      <w:pPr>
        <w:kinsoku/>
        <w:autoSpaceDE/>
        <w:autoSpaceDN w:val="0"/>
        <w:spacing w:line="300" w:lineRule="atLeast"/>
        <w:rPr>
          <w:rFonts w:hint="default" w:ascii="Arial"/>
          <w:snapToGrid/>
          <w:color w:val="323232"/>
          <w:sz w:val="18"/>
        </w:rPr>
      </w:pPr>
      <w:r>
        <w:rPr>
          <w:rFonts w:hint="default" w:ascii="Arial"/>
          <w:snapToGrid/>
          <w:color w:val="323232"/>
          <w:sz w:val="18"/>
        </w:rPr>
        <w:t>IP-guard基于TCP/IP协议的网络架构，可以灵活地从本地网络扩展到远程网络和异地网络。服务器通过虚拟专用网（VPN）或互联网连接远程的计算机，实现对大规模复杂网络的集中管理。控制台也可以通过互联网连接异地的服务器，实现对分支机构的远程管理。</w:t>
      </w:r>
    </w:p>
    <w:p>
      <w:pPr>
        <w:pBdr>
          <w:bottom w:val="dashed" w:color="ACACAC" w:sz="6" w:space="3"/>
        </w:pBdr>
        <w:kinsoku/>
        <w:autoSpaceDE/>
        <w:autoSpaceDN w:val="0"/>
        <w:spacing w:before="300" w:beforeLines="0" w:after="180" w:afterLines="0" w:line="300" w:lineRule="atLeast"/>
        <w:rPr>
          <w:rFonts w:hint="default" w:ascii="Arial"/>
          <w:b/>
          <w:snapToGrid/>
          <w:color w:val="113C8D"/>
          <w:sz w:val="21"/>
        </w:rPr>
      </w:pPr>
      <w:r>
        <w:rPr>
          <w:rFonts w:hint="default" w:ascii="Arial"/>
          <w:b/>
          <w:snapToGrid/>
          <w:color w:val="113C8D"/>
          <w:sz w:val="21"/>
        </w:rPr>
        <w:t>服务器模块基本功能</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管理所有客户端计算机，并向其传递相关的规则和指令</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收集存储客户端采集的数据</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提供方便灵活的记录管理、查看、归档、搜索等功能</w:t>
      </w:r>
    </w:p>
    <w:p>
      <w:pPr>
        <w:pBdr>
          <w:bottom w:val="dashed" w:color="ACACAC" w:sz="6" w:space="3"/>
        </w:pBdr>
        <w:kinsoku/>
        <w:autoSpaceDE/>
        <w:autoSpaceDN w:val="0"/>
        <w:spacing w:before="300" w:beforeLines="0" w:after="180" w:afterLines="0" w:line="300" w:lineRule="atLeast"/>
        <w:rPr>
          <w:rFonts w:hint="default" w:ascii="Arial"/>
          <w:b/>
          <w:snapToGrid/>
          <w:color w:val="113C8D"/>
          <w:sz w:val="21"/>
        </w:rPr>
      </w:pPr>
      <w:r>
        <w:rPr>
          <w:rFonts w:hint="default" w:ascii="Arial"/>
          <w:b/>
          <w:snapToGrid/>
          <w:color w:val="113C8D"/>
          <w:sz w:val="21"/>
        </w:rPr>
        <w:t>控制台模块基本功能</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查看和审计客户端的数据</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数据统计，分析和导出</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对客户端计算机实时管理和系统维护</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设置管理策略</w:t>
      </w:r>
    </w:p>
    <w:p>
      <w:pPr>
        <w:pBdr>
          <w:bottom w:val="dashed" w:color="ACACAC" w:sz="6" w:space="3"/>
        </w:pBdr>
        <w:kinsoku/>
        <w:autoSpaceDE/>
        <w:autoSpaceDN w:val="0"/>
        <w:spacing w:before="300" w:beforeLines="0" w:after="180" w:afterLines="0" w:line="300" w:lineRule="atLeast"/>
        <w:rPr>
          <w:rFonts w:hint="default" w:ascii="Arial"/>
          <w:b/>
          <w:snapToGrid/>
          <w:color w:val="113C8D"/>
          <w:sz w:val="21"/>
        </w:rPr>
      </w:pPr>
      <w:r>
        <w:rPr>
          <w:rFonts w:hint="default" w:ascii="Arial"/>
          <w:b/>
          <w:snapToGrid/>
          <w:color w:val="113C8D"/>
          <w:sz w:val="21"/>
        </w:rPr>
        <w:t>客户端模块基本功能</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执行系统设定的各种管理策略</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采集客户端运行的各项数据</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定时将采集的数据传送到服务器</w:t>
      </w:r>
    </w:p>
    <w:p>
      <w:pPr>
        <w:numPr>
          <w:ilvl w:val="0"/>
          <w:numId w:val="19"/>
        </w:numPr>
        <w:kinsoku/>
        <w:autoSpaceDE/>
        <w:autoSpaceDN w:val="0"/>
        <w:spacing w:line="360" w:lineRule="atLeast"/>
        <w:rPr>
          <w:rFonts w:hint="default" w:ascii="Arial"/>
          <w:snapToGrid/>
          <w:color w:val="323232"/>
          <w:sz w:val="18"/>
        </w:rPr>
      </w:pPr>
      <w:r>
        <w:rPr>
          <w:rFonts w:hint="default" w:ascii="Arial"/>
          <w:snapToGrid/>
          <w:color w:val="323232"/>
          <w:sz w:val="18"/>
        </w:rPr>
        <w:t>根据控制台发出的指令进行管理操作</w:t>
      </w:r>
    </w:p>
    <w:p>
      <w:pPr>
        <w:numPr>
          <w:ilvl w:val="0"/>
          <w:numId w:val="8"/>
        </w:numPr>
        <w:kinsoku/>
        <w:autoSpaceDE/>
        <w:autoSpaceDN w:val="0"/>
        <w:spacing w:line="330" w:lineRule="atLeast"/>
        <w:rPr>
          <w:rFonts w:hint="default" w:ascii="Arial"/>
          <w:snapToGrid/>
          <w:color w:val="FF0000"/>
          <w:sz w:val="18"/>
        </w:rPr>
      </w:pPr>
      <w:r>
        <w:rPr>
          <w:rFonts w:hint="eastAsia" w:ascii="Arial"/>
          <w:snapToGrid/>
          <w:color w:val="FF0000"/>
          <w:sz w:val="18"/>
          <w:lang w:eastAsia="zh-CN"/>
        </w:rPr>
        <w:t>３系统要求</w:t>
      </w:r>
    </w:p>
    <w:p>
      <w:pPr>
        <w:kinsoku/>
        <w:autoSpaceDE/>
        <w:autoSpaceDN w:val="0"/>
        <w:spacing w:after="225" w:afterLines="0" w:line="375" w:lineRule="atLeast"/>
        <w:rPr>
          <w:rFonts w:hint="default" w:ascii="Arial"/>
          <w:b/>
          <w:snapToGrid/>
          <w:color w:val="323232"/>
          <w:sz w:val="33"/>
        </w:rPr>
      </w:pPr>
      <w:r>
        <w:rPr>
          <w:rFonts w:hint="default" w:ascii="Arial"/>
          <w:b/>
          <w:snapToGrid/>
          <w:color w:val="323232"/>
          <w:sz w:val="33"/>
        </w:rPr>
        <w:t>系统要求</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8"/>
        <w:gridCol w:w="487"/>
        <w:gridCol w:w="405"/>
        <w:gridCol w:w="1821"/>
        <w:gridCol w:w="1329"/>
        <w:gridCol w:w="1093"/>
        <w:gridCol w:w="489"/>
        <w:gridCol w:w="1568"/>
        <w:gridCol w:w="276"/>
        <w:gridCol w:w="84"/>
        <w:gridCol w:w="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849" w:type="dxa"/>
          <w:trHeight w:val="0" w:hRule="atLeast"/>
        </w:trPr>
        <w:tc>
          <w:tcPr>
            <w:tcW w:w="7680" w:type="dxa"/>
            <w:gridSpan w:val="8"/>
            <w:tcBorders>
              <w:top w:val="single" w:color="B4CCDA" w:sz="6" w:space="0"/>
              <w:left w:val="single" w:color="B4CCDA" w:sz="6" w:space="0"/>
              <w:bottom w:val="single" w:color="B4CCDA" w:sz="6" w:space="0"/>
              <w:right w:val="single" w:color="B4CCDA" w:sz="6" w:space="0"/>
            </w:tcBorders>
            <w:shd w:val="solid" w:color="95BFDF" w:fill="auto"/>
            <w:vAlign w:val="center"/>
          </w:tcPr>
          <w:p>
            <w:pPr>
              <w:shd w:val="solid" w:color="95BFDF" w:fill="auto"/>
              <w:kinsoku/>
              <w:autoSpaceDE/>
              <w:autoSpaceDN w:val="0"/>
              <w:spacing w:line="300" w:lineRule="atLeast"/>
              <w:jc w:val="center"/>
              <w:textAlignment w:val="auto"/>
              <w:rPr>
                <w:rFonts w:hint="default" w:ascii="Arial"/>
                <w:b/>
                <w:snapToGrid/>
                <w:color w:val="323232"/>
                <w:sz w:val="18"/>
                <w:shd w:val="clear" w:color="auto" w:fill="95BFDF"/>
              </w:rPr>
            </w:pPr>
            <w:r>
              <w:rPr>
                <w:rFonts w:hint="default" w:ascii="Arial"/>
                <w:b/>
                <w:snapToGrid/>
                <w:color w:val="323232"/>
                <w:sz w:val="18"/>
                <w:shd w:val="clear" w:color="auto" w:fill="95BFDF"/>
              </w:rPr>
              <w:t>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849" w:type="dxa"/>
          <w:trHeight w:val="0" w:hRule="atLeast"/>
        </w:trPr>
        <w:tc>
          <w:tcPr>
            <w:tcW w:w="7680" w:type="dxa"/>
            <w:gridSpan w:val="8"/>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SQL Server 2000 SP4 / MSDE SP4</w:t>
            </w:r>
            <w:r>
              <w:rPr>
                <w:rFonts w:hint="default" w:ascii="Arial"/>
                <w:snapToGrid/>
                <w:color w:val="323232"/>
                <w:sz w:val="18"/>
                <w:shd w:val="clear" w:color="auto" w:fill="FFFFFF"/>
              </w:rPr>
              <w:cr/>
            </w:r>
            <w:r>
              <w:rPr>
                <w:rFonts w:hint="default" w:ascii="Arial"/>
                <w:snapToGrid/>
                <w:color w:val="323232"/>
                <w:sz w:val="18"/>
                <w:shd w:val="clear" w:color="auto" w:fill="FFFFFF"/>
              </w:rPr>
              <w:t>SQL Server 2005 SP1 (X86/X64/)/ SQL Server 2005 Express SP1 (X86/X64)</w:t>
            </w:r>
            <w:r>
              <w:rPr>
                <w:rFonts w:hint="default" w:ascii="Arial"/>
                <w:snapToGrid/>
                <w:color w:val="323232"/>
                <w:sz w:val="18"/>
                <w:shd w:val="clear" w:color="auto" w:fill="FFFFFF"/>
              </w:rPr>
              <w:cr/>
            </w:r>
            <w:r>
              <w:rPr>
                <w:rFonts w:hint="default" w:ascii="Arial"/>
                <w:snapToGrid/>
                <w:color w:val="323232"/>
                <w:sz w:val="18"/>
                <w:shd w:val="clear" w:color="auto" w:fill="FFFFFF"/>
              </w:rPr>
              <w:t>SQL Server 2008 (X86/X64) / SQL Server 2008 Express (X86/X64)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7956" w:type="dxa"/>
            <w:gridSpan w:val="9"/>
            <w:tcBorders>
              <w:top w:val="single" w:color="B4CCDA" w:sz="6" w:space="0"/>
              <w:left w:val="single" w:color="B4CCDA" w:sz="6" w:space="0"/>
              <w:bottom w:val="single" w:color="B4CCDA" w:sz="6" w:space="0"/>
              <w:right w:val="single" w:color="B4CCDA" w:sz="6" w:space="0"/>
            </w:tcBorders>
            <w:shd w:val="solid" w:color="95BFDF" w:fill="auto"/>
            <w:vAlign w:val="center"/>
          </w:tcPr>
          <w:p>
            <w:pPr>
              <w:shd w:val="solid" w:color="95BFDF" w:fill="auto"/>
              <w:kinsoku/>
              <w:autoSpaceDE/>
              <w:autoSpaceDN w:val="0"/>
              <w:spacing w:line="300" w:lineRule="atLeast"/>
              <w:jc w:val="center"/>
              <w:textAlignment w:val="auto"/>
              <w:rPr>
                <w:rFonts w:hint="default" w:ascii="Arial"/>
                <w:b/>
                <w:snapToGrid/>
                <w:color w:val="323232"/>
                <w:sz w:val="18"/>
                <w:shd w:val="clear" w:color="auto" w:fill="95BFDF"/>
              </w:rPr>
            </w:pPr>
            <w:r>
              <w:rPr>
                <w:rFonts w:hint="default" w:ascii="Arial"/>
                <w:b/>
                <w:snapToGrid/>
                <w:color w:val="323232"/>
                <w:sz w:val="18"/>
                <w:shd w:val="clear" w:color="auto" w:fill="95BFDF"/>
              </w:rPr>
              <w:t>服务器模块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EFF6F9" w:fill="auto"/>
            <w:vAlign w:val="center"/>
          </w:tcPr>
          <w:p/>
        </w:tc>
        <w:tc>
          <w:tcPr>
            <w:tcW w:w="3150" w:type="dxa"/>
            <w:gridSpan w:val="2"/>
            <w:tcBorders>
              <w:top w:val="single" w:color="B4CCDA" w:sz="6" w:space="0"/>
              <w:left w:val="single" w:color="B4CCDA" w:sz="6" w:space="0"/>
              <w:bottom w:val="single" w:color="B4CCDA" w:sz="6" w:space="0"/>
              <w:right w:val="single" w:color="B4CCDA" w:sz="6" w:space="0"/>
            </w:tcBorders>
            <w:shd w:val="solid" w:color="EFF6F9" w:fill="auto"/>
            <w:vAlign w:val="center"/>
          </w:tcPr>
          <w:p>
            <w:pPr>
              <w:shd w:val="solid" w:color="EFF6F9" w:fill="auto"/>
              <w:kinsoku/>
              <w:autoSpaceDE/>
              <w:autoSpaceDN w:val="0"/>
              <w:spacing w:line="300" w:lineRule="atLeast"/>
              <w:jc w:val="center"/>
              <w:textAlignment w:val="auto"/>
              <w:rPr>
                <w:rFonts w:hint="default" w:ascii="Arial"/>
                <w:b/>
                <w:snapToGrid/>
                <w:color w:val="323232"/>
                <w:sz w:val="18"/>
                <w:shd w:val="clear" w:color="auto" w:fill="EFF6F9"/>
              </w:rPr>
            </w:pPr>
            <w:r>
              <w:rPr>
                <w:rFonts w:hint="default" w:ascii="Arial"/>
                <w:b/>
                <w:snapToGrid/>
                <w:color w:val="323232"/>
                <w:sz w:val="18"/>
                <w:shd w:val="clear" w:color="auto" w:fill="EFF6F9"/>
              </w:rPr>
              <w:t>最低配置</w:t>
            </w:r>
          </w:p>
        </w:tc>
        <w:tc>
          <w:tcPr>
            <w:tcW w:w="3426" w:type="dxa"/>
            <w:gridSpan w:val="4"/>
            <w:tcBorders>
              <w:top w:val="single" w:color="B4CCDA" w:sz="6" w:space="0"/>
              <w:left w:val="single" w:color="B4CCDA" w:sz="6" w:space="0"/>
              <w:bottom w:val="single" w:color="B4CCDA" w:sz="6" w:space="0"/>
              <w:right w:val="single" w:color="B4CCDA" w:sz="6" w:space="0"/>
            </w:tcBorders>
            <w:shd w:val="solid" w:color="EFF6F9" w:fill="auto"/>
            <w:vAlign w:val="center"/>
          </w:tcPr>
          <w:p>
            <w:pPr>
              <w:shd w:val="solid" w:color="EFF6F9" w:fill="auto"/>
              <w:kinsoku/>
              <w:autoSpaceDE/>
              <w:autoSpaceDN w:val="0"/>
              <w:spacing w:line="300" w:lineRule="atLeast"/>
              <w:jc w:val="center"/>
              <w:textAlignment w:val="auto"/>
              <w:rPr>
                <w:rFonts w:hint="default" w:ascii="Arial"/>
                <w:b/>
                <w:snapToGrid/>
                <w:color w:val="323232"/>
                <w:sz w:val="18"/>
                <w:shd w:val="clear" w:color="auto" w:fill="EFF6F9"/>
              </w:rPr>
            </w:pPr>
            <w:r>
              <w:rPr>
                <w:rFonts w:hint="default" w:ascii="Arial"/>
                <w:b/>
                <w:snapToGrid/>
                <w:color w:val="323232"/>
                <w:sz w:val="18"/>
                <w:shd w:val="clear" w:color="auto" w:fill="EFF6F9"/>
              </w:rPr>
              <w:t>建议配置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jc w:val="center"/>
              <w:textAlignment w:val="top"/>
              <w:rPr>
                <w:rFonts w:hint="default" w:ascii="Arial"/>
                <w:b/>
                <w:snapToGrid/>
                <w:color w:val="323232"/>
                <w:sz w:val="18"/>
                <w:shd w:val="clear" w:color="auto" w:fill="FFFFFF"/>
              </w:rPr>
            </w:pPr>
            <w:r>
              <w:rPr>
                <w:rFonts w:hint="default" w:ascii="Arial"/>
                <w:b/>
                <w:snapToGrid/>
                <w:color w:val="323232"/>
                <w:sz w:val="18"/>
                <w:shd w:val="clear" w:color="auto" w:fill="FFFFFF"/>
              </w:rPr>
              <w:t>OS</w:t>
            </w:r>
          </w:p>
        </w:tc>
        <w:tc>
          <w:tcPr>
            <w:tcW w:w="6576" w:type="dxa"/>
            <w:gridSpan w:val="6"/>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Win2000 SP4 / XP SP2 (X86/X64) / 2003 SP1 (X86/X64) / Vista (X86/X64) / 2008 (X86/X64) / Win7 (X86/X64)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jc w:val="center"/>
              <w:textAlignment w:val="top"/>
              <w:rPr>
                <w:rFonts w:hint="default" w:ascii="Arial"/>
                <w:b/>
                <w:snapToGrid/>
                <w:color w:val="323232"/>
                <w:sz w:val="18"/>
                <w:shd w:val="clear" w:color="auto" w:fill="EFF6F9"/>
              </w:rPr>
            </w:pPr>
            <w:r>
              <w:rPr>
                <w:rFonts w:hint="default" w:ascii="Arial"/>
                <w:b/>
                <w:snapToGrid/>
                <w:color w:val="323232"/>
                <w:sz w:val="18"/>
                <w:shd w:val="clear" w:color="auto" w:fill="EFF6F9"/>
              </w:rPr>
              <w:t>CPU</w:t>
            </w:r>
          </w:p>
        </w:tc>
        <w:tc>
          <w:tcPr>
            <w:tcW w:w="3150"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Pentium 4　2G</w:t>
            </w:r>
          </w:p>
        </w:tc>
        <w:tc>
          <w:tcPr>
            <w:tcW w:w="3426" w:type="dxa"/>
            <w:gridSpan w:val="4"/>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Pentium 4以上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jc w:val="center"/>
              <w:textAlignment w:val="top"/>
              <w:rPr>
                <w:rFonts w:hint="default" w:ascii="Arial"/>
                <w:b/>
                <w:snapToGrid/>
                <w:color w:val="323232"/>
                <w:sz w:val="18"/>
                <w:shd w:val="clear" w:color="auto" w:fill="FFFFFF"/>
              </w:rPr>
            </w:pPr>
            <w:r>
              <w:rPr>
                <w:rFonts w:hint="default" w:ascii="Arial"/>
                <w:b/>
                <w:snapToGrid/>
                <w:color w:val="323232"/>
                <w:sz w:val="18"/>
                <w:shd w:val="clear" w:color="auto" w:fill="FFFFFF"/>
              </w:rPr>
              <w:t>内存</w:t>
            </w:r>
          </w:p>
        </w:tc>
        <w:tc>
          <w:tcPr>
            <w:tcW w:w="3150" w:type="dxa"/>
            <w:gridSpan w:val="2"/>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512MB</w:t>
            </w:r>
          </w:p>
        </w:tc>
        <w:tc>
          <w:tcPr>
            <w:tcW w:w="3426" w:type="dxa"/>
            <w:gridSpan w:val="4"/>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4GB以上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jc w:val="center"/>
              <w:textAlignment w:val="top"/>
              <w:rPr>
                <w:rFonts w:hint="default" w:ascii="Arial"/>
                <w:b/>
                <w:snapToGrid/>
                <w:color w:val="323232"/>
                <w:sz w:val="18"/>
                <w:shd w:val="clear" w:color="auto" w:fill="EFF6F9"/>
              </w:rPr>
            </w:pPr>
            <w:r>
              <w:rPr>
                <w:rFonts w:hint="default" w:ascii="Arial"/>
                <w:b/>
                <w:snapToGrid/>
                <w:color w:val="323232"/>
                <w:sz w:val="18"/>
                <w:shd w:val="clear" w:color="auto" w:fill="EFF6F9"/>
              </w:rPr>
              <w:t>硬盘</w:t>
            </w:r>
          </w:p>
        </w:tc>
        <w:tc>
          <w:tcPr>
            <w:tcW w:w="3150"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20G</w:t>
            </w:r>
          </w:p>
        </w:tc>
        <w:tc>
          <w:tcPr>
            <w:tcW w:w="3426" w:type="dxa"/>
            <w:gridSpan w:val="4"/>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120GB以上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7956" w:type="dxa"/>
            <w:gridSpan w:val="9"/>
            <w:tcBorders>
              <w:top w:val="single" w:color="B4CCDA" w:sz="6" w:space="0"/>
              <w:left w:val="single" w:color="B4CCDA" w:sz="6" w:space="0"/>
              <w:bottom w:val="single" w:color="B4CCDA" w:sz="6" w:space="0"/>
              <w:right w:val="single" w:color="B4CCDA" w:sz="6" w:space="0"/>
            </w:tcBorders>
            <w:shd w:val="solid" w:color="95BFDF" w:fill="auto"/>
            <w:vAlign w:val="center"/>
          </w:tcPr>
          <w:p>
            <w:pPr>
              <w:shd w:val="solid" w:color="95BFDF" w:fill="auto"/>
              <w:kinsoku/>
              <w:autoSpaceDE/>
              <w:autoSpaceDN w:val="0"/>
              <w:spacing w:line="300" w:lineRule="atLeast"/>
              <w:jc w:val="center"/>
              <w:textAlignment w:val="auto"/>
              <w:rPr>
                <w:rFonts w:hint="default" w:ascii="Arial"/>
                <w:b/>
                <w:snapToGrid/>
                <w:color w:val="323232"/>
                <w:sz w:val="18"/>
                <w:shd w:val="clear" w:color="auto" w:fill="95BFDF"/>
              </w:rPr>
            </w:pPr>
            <w:r>
              <w:rPr>
                <w:rFonts w:hint="default" w:ascii="Arial"/>
                <w:b/>
                <w:snapToGrid/>
                <w:color w:val="323232"/>
                <w:sz w:val="18"/>
                <w:shd w:val="clear" w:color="auto" w:fill="95BFDF"/>
              </w:rPr>
              <w:t>控制台模块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EFF6F9" w:fill="auto"/>
            <w:vAlign w:val="center"/>
          </w:tcPr>
          <w:p/>
        </w:tc>
        <w:tc>
          <w:tcPr>
            <w:tcW w:w="3150" w:type="dxa"/>
            <w:gridSpan w:val="2"/>
            <w:tcBorders>
              <w:top w:val="single" w:color="B4CCDA" w:sz="6" w:space="0"/>
              <w:left w:val="single" w:color="B4CCDA" w:sz="6" w:space="0"/>
              <w:bottom w:val="single" w:color="B4CCDA" w:sz="6" w:space="0"/>
              <w:right w:val="single" w:color="B4CCDA" w:sz="6" w:space="0"/>
            </w:tcBorders>
            <w:shd w:val="solid" w:color="EFF6F9" w:fill="auto"/>
            <w:vAlign w:val="center"/>
          </w:tcPr>
          <w:p>
            <w:pPr>
              <w:shd w:val="solid" w:color="EFF6F9" w:fill="auto"/>
              <w:kinsoku/>
              <w:autoSpaceDE/>
              <w:autoSpaceDN w:val="0"/>
              <w:spacing w:line="300" w:lineRule="atLeast"/>
              <w:jc w:val="center"/>
              <w:textAlignment w:val="auto"/>
              <w:rPr>
                <w:rFonts w:hint="default" w:ascii="Arial"/>
                <w:b/>
                <w:snapToGrid/>
                <w:color w:val="323232"/>
                <w:sz w:val="18"/>
                <w:shd w:val="clear" w:color="auto" w:fill="EFF6F9"/>
              </w:rPr>
            </w:pPr>
            <w:r>
              <w:rPr>
                <w:rFonts w:hint="default" w:ascii="Arial"/>
                <w:b/>
                <w:snapToGrid/>
                <w:color w:val="323232"/>
                <w:sz w:val="18"/>
                <w:shd w:val="clear" w:color="auto" w:fill="EFF6F9"/>
              </w:rPr>
              <w:t>最低配置</w:t>
            </w:r>
          </w:p>
        </w:tc>
        <w:tc>
          <w:tcPr>
            <w:tcW w:w="3426" w:type="dxa"/>
            <w:gridSpan w:val="4"/>
            <w:tcBorders>
              <w:top w:val="single" w:color="B4CCDA" w:sz="6" w:space="0"/>
              <w:left w:val="single" w:color="B4CCDA" w:sz="6" w:space="0"/>
              <w:bottom w:val="single" w:color="B4CCDA" w:sz="6" w:space="0"/>
              <w:right w:val="single" w:color="B4CCDA" w:sz="6" w:space="0"/>
            </w:tcBorders>
            <w:shd w:val="solid" w:color="EFF6F9" w:fill="auto"/>
            <w:vAlign w:val="center"/>
          </w:tcPr>
          <w:p>
            <w:pPr>
              <w:shd w:val="solid" w:color="EFF6F9" w:fill="auto"/>
              <w:kinsoku/>
              <w:autoSpaceDE/>
              <w:autoSpaceDN w:val="0"/>
              <w:spacing w:line="300" w:lineRule="atLeast"/>
              <w:jc w:val="center"/>
              <w:textAlignment w:val="auto"/>
              <w:rPr>
                <w:rFonts w:hint="default" w:ascii="Arial"/>
                <w:b/>
                <w:snapToGrid/>
                <w:color w:val="323232"/>
                <w:sz w:val="18"/>
                <w:shd w:val="clear" w:color="auto" w:fill="EFF6F9"/>
              </w:rPr>
            </w:pPr>
            <w:r>
              <w:rPr>
                <w:rFonts w:hint="default" w:ascii="Arial"/>
                <w:b/>
                <w:snapToGrid/>
                <w:color w:val="323232"/>
                <w:sz w:val="18"/>
                <w:shd w:val="clear" w:color="auto" w:fill="EFF6F9"/>
              </w:rPr>
              <w:t>建议配置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jc w:val="center"/>
              <w:textAlignment w:val="top"/>
              <w:rPr>
                <w:rFonts w:hint="default" w:ascii="Arial"/>
                <w:b/>
                <w:snapToGrid/>
                <w:color w:val="323232"/>
                <w:sz w:val="18"/>
                <w:shd w:val="clear" w:color="auto" w:fill="FFFFFF"/>
              </w:rPr>
            </w:pPr>
            <w:r>
              <w:rPr>
                <w:rFonts w:hint="default" w:ascii="Arial"/>
                <w:b/>
                <w:snapToGrid/>
                <w:color w:val="323232"/>
                <w:sz w:val="18"/>
                <w:shd w:val="clear" w:color="auto" w:fill="FFFFFF"/>
              </w:rPr>
              <w:t>OS</w:t>
            </w:r>
          </w:p>
        </w:tc>
        <w:tc>
          <w:tcPr>
            <w:tcW w:w="6576" w:type="dxa"/>
            <w:gridSpan w:val="6"/>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Win2000 / XP (X86/X64) / 2003 (X86/X64) / Vista (X86/X64) / 2008 (X86/X64) / Win7 (X86/X64)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jc w:val="center"/>
              <w:textAlignment w:val="top"/>
              <w:rPr>
                <w:rFonts w:hint="default" w:ascii="Arial"/>
                <w:b/>
                <w:snapToGrid/>
                <w:color w:val="323232"/>
                <w:sz w:val="18"/>
                <w:shd w:val="clear" w:color="auto" w:fill="EFF6F9"/>
              </w:rPr>
            </w:pPr>
            <w:r>
              <w:rPr>
                <w:rFonts w:hint="default" w:ascii="Arial"/>
                <w:b/>
                <w:snapToGrid/>
                <w:color w:val="323232"/>
                <w:sz w:val="18"/>
                <w:shd w:val="clear" w:color="auto" w:fill="EFF6F9"/>
              </w:rPr>
              <w:t>CPU</w:t>
            </w:r>
          </w:p>
        </w:tc>
        <w:tc>
          <w:tcPr>
            <w:tcW w:w="3150"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Pentium III 500</w:t>
            </w:r>
          </w:p>
        </w:tc>
        <w:tc>
          <w:tcPr>
            <w:tcW w:w="3426" w:type="dxa"/>
            <w:gridSpan w:val="4"/>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Pentium 4以上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jc w:val="center"/>
              <w:textAlignment w:val="top"/>
              <w:rPr>
                <w:rFonts w:hint="default" w:ascii="Arial"/>
                <w:b/>
                <w:snapToGrid/>
                <w:color w:val="323232"/>
                <w:sz w:val="18"/>
                <w:shd w:val="clear" w:color="auto" w:fill="FFFFFF"/>
              </w:rPr>
            </w:pPr>
            <w:r>
              <w:rPr>
                <w:rFonts w:hint="default" w:ascii="Arial"/>
                <w:b/>
                <w:snapToGrid/>
                <w:color w:val="323232"/>
                <w:sz w:val="18"/>
                <w:shd w:val="clear" w:color="auto" w:fill="FFFFFF"/>
              </w:rPr>
              <w:t>内存</w:t>
            </w:r>
          </w:p>
        </w:tc>
        <w:tc>
          <w:tcPr>
            <w:tcW w:w="3150" w:type="dxa"/>
            <w:gridSpan w:val="2"/>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256MB</w:t>
            </w:r>
          </w:p>
        </w:tc>
        <w:tc>
          <w:tcPr>
            <w:tcW w:w="3426" w:type="dxa"/>
            <w:gridSpan w:val="4"/>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512MB以上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3" w:type="dxa"/>
          <w:trHeight w:val="0" w:hRule="atLeast"/>
        </w:trPr>
        <w:tc>
          <w:tcPr>
            <w:tcW w:w="1380" w:type="dxa"/>
            <w:gridSpan w:val="3"/>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jc w:val="center"/>
              <w:textAlignment w:val="top"/>
              <w:rPr>
                <w:rFonts w:hint="default" w:ascii="Arial"/>
                <w:b/>
                <w:snapToGrid/>
                <w:color w:val="323232"/>
                <w:sz w:val="18"/>
                <w:shd w:val="clear" w:color="auto" w:fill="EFF6F9"/>
              </w:rPr>
            </w:pPr>
            <w:r>
              <w:rPr>
                <w:rFonts w:hint="default" w:ascii="Arial"/>
                <w:b/>
                <w:snapToGrid/>
                <w:color w:val="323232"/>
                <w:sz w:val="18"/>
                <w:shd w:val="clear" w:color="auto" w:fill="EFF6F9"/>
              </w:rPr>
              <w:t>硬盘</w:t>
            </w:r>
          </w:p>
        </w:tc>
        <w:tc>
          <w:tcPr>
            <w:tcW w:w="3150"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256MB</w:t>
            </w:r>
          </w:p>
        </w:tc>
        <w:tc>
          <w:tcPr>
            <w:tcW w:w="3426" w:type="dxa"/>
            <w:gridSpan w:val="4"/>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1GB以上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9" w:type="dxa"/>
          <w:trHeight w:val="0" w:hRule="atLeast"/>
        </w:trPr>
        <w:tc>
          <w:tcPr>
            <w:tcW w:w="5623" w:type="dxa"/>
            <w:gridSpan w:val="6"/>
            <w:tcBorders>
              <w:top w:val="single" w:color="B4CCDA" w:sz="6" w:space="0"/>
              <w:left w:val="single" w:color="B4CCDA" w:sz="6" w:space="0"/>
              <w:bottom w:val="single" w:color="B4CCDA" w:sz="6" w:space="0"/>
              <w:right w:val="single" w:color="B4CCDA" w:sz="6" w:space="0"/>
            </w:tcBorders>
            <w:shd w:val="solid" w:color="95BFDF" w:fill="auto"/>
            <w:vAlign w:val="center"/>
          </w:tcPr>
          <w:p>
            <w:pPr>
              <w:shd w:val="solid" w:color="95BFDF" w:fill="auto"/>
              <w:kinsoku/>
              <w:autoSpaceDE/>
              <w:autoSpaceDN w:val="0"/>
              <w:spacing w:line="300" w:lineRule="atLeast"/>
              <w:jc w:val="center"/>
              <w:textAlignment w:val="auto"/>
              <w:rPr>
                <w:rFonts w:hint="default" w:ascii="Arial"/>
                <w:b/>
                <w:snapToGrid/>
                <w:color w:val="323232"/>
                <w:sz w:val="18"/>
                <w:shd w:val="clear" w:color="auto" w:fill="95BFDF"/>
              </w:rPr>
            </w:pPr>
            <w:r>
              <w:rPr>
                <w:rFonts w:hint="default" w:ascii="Arial"/>
                <w:b/>
                <w:snapToGrid/>
                <w:color w:val="323232"/>
                <w:sz w:val="18"/>
                <w:shd w:val="clear" w:color="auto" w:fill="95BFDF"/>
              </w:rPr>
              <w:t>客户端模块</w:t>
            </w:r>
          </w:p>
        </w:tc>
        <w:tc>
          <w:tcPr>
            <w:tcW w:w="2417" w:type="dxa"/>
            <w:gridSpan w:val="4"/>
            <w:tcBorders>
              <w:top w:val="single" w:color="B4CCDA" w:sz="6" w:space="0"/>
              <w:left w:val="single" w:color="B4CCDA" w:sz="6" w:space="0"/>
              <w:bottom w:val="single" w:color="B4CCDA" w:sz="6" w:space="0"/>
              <w:right w:val="single" w:color="B4CCDA" w:sz="6" w:space="0"/>
            </w:tcBorders>
            <w:shd w:val="solid" w:color="95BFDF"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9" w:type="dxa"/>
          <w:trHeight w:val="0" w:hRule="atLeast"/>
        </w:trPr>
        <w:tc>
          <w:tcPr>
            <w:tcW w:w="975" w:type="dxa"/>
            <w:gridSpan w:val="2"/>
            <w:tcBorders>
              <w:top w:val="single" w:color="B4CCDA" w:sz="6" w:space="0"/>
              <w:left w:val="single" w:color="B4CCDA" w:sz="6" w:space="0"/>
              <w:bottom w:val="single" w:color="B4CCDA" w:sz="6" w:space="0"/>
              <w:right w:val="single" w:color="B4CCDA" w:sz="6" w:space="0"/>
            </w:tcBorders>
            <w:shd w:val="solid" w:color="EFF6F9" w:fill="auto"/>
            <w:vAlign w:val="center"/>
          </w:tcPr>
          <w:p/>
        </w:tc>
        <w:tc>
          <w:tcPr>
            <w:tcW w:w="2226" w:type="dxa"/>
            <w:gridSpan w:val="2"/>
            <w:tcBorders>
              <w:top w:val="single" w:color="B4CCDA" w:sz="6" w:space="0"/>
              <w:left w:val="single" w:color="B4CCDA" w:sz="6" w:space="0"/>
              <w:bottom w:val="single" w:color="B4CCDA" w:sz="6" w:space="0"/>
              <w:right w:val="single" w:color="B4CCDA" w:sz="6" w:space="0"/>
            </w:tcBorders>
            <w:shd w:val="solid" w:color="EFF6F9" w:fill="auto"/>
            <w:vAlign w:val="center"/>
          </w:tcPr>
          <w:p>
            <w:pPr>
              <w:shd w:val="solid" w:color="EFF6F9" w:fill="auto"/>
              <w:kinsoku/>
              <w:autoSpaceDE/>
              <w:autoSpaceDN w:val="0"/>
              <w:spacing w:line="300" w:lineRule="atLeast"/>
              <w:jc w:val="center"/>
              <w:textAlignment w:val="auto"/>
              <w:rPr>
                <w:rFonts w:hint="default" w:ascii="Arial"/>
                <w:b/>
                <w:snapToGrid/>
                <w:color w:val="323232"/>
                <w:sz w:val="18"/>
                <w:shd w:val="clear" w:color="auto" w:fill="EFF6F9"/>
              </w:rPr>
            </w:pPr>
            <w:r>
              <w:rPr>
                <w:rFonts w:hint="default" w:ascii="Arial"/>
                <w:b/>
                <w:snapToGrid/>
                <w:color w:val="323232"/>
                <w:sz w:val="18"/>
                <w:shd w:val="clear" w:color="auto" w:fill="EFF6F9"/>
              </w:rPr>
              <w:t>最低配置</w:t>
            </w:r>
          </w:p>
        </w:tc>
        <w:tc>
          <w:tcPr>
            <w:tcW w:w="2422" w:type="dxa"/>
            <w:gridSpan w:val="2"/>
            <w:tcBorders>
              <w:top w:val="single" w:color="B4CCDA" w:sz="6" w:space="0"/>
              <w:left w:val="single" w:color="B4CCDA" w:sz="6" w:space="0"/>
              <w:bottom w:val="single" w:color="B4CCDA" w:sz="6" w:space="0"/>
              <w:right w:val="single" w:color="B4CCDA" w:sz="6" w:space="0"/>
            </w:tcBorders>
            <w:shd w:val="solid" w:color="EFF6F9" w:fill="auto"/>
            <w:vAlign w:val="center"/>
          </w:tcPr>
          <w:p>
            <w:pPr>
              <w:shd w:val="solid" w:color="EFF6F9" w:fill="auto"/>
              <w:kinsoku/>
              <w:autoSpaceDE/>
              <w:autoSpaceDN w:val="0"/>
              <w:spacing w:line="300" w:lineRule="atLeast"/>
              <w:jc w:val="center"/>
              <w:textAlignment w:val="auto"/>
              <w:rPr>
                <w:rFonts w:hint="default" w:ascii="Arial"/>
                <w:b/>
                <w:snapToGrid/>
                <w:color w:val="323232"/>
                <w:sz w:val="18"/>
                <w:shd w:val="clear" w:color="auto" w:fill="EFF6F9"/>
              </w:rPr>
            </w:pPr>
            <w:r>
              <w:rPr>
                <w:rFonts w:hint="default" w:ascii="Arial"/>
                <w:b/>
                <w:snapToGrid/>
                <w:color w:val="323232"/>
                <w:sz w:val="18"/>
                <w:shd w:val="clear" w:color="auto" w:fill="EFF6F9"/>
              </w:rPr>
              <w:t>建议配置</w:t>
            </w:r>
          </w:p>
        </w:tc>
        <w:tc>
          <w:tcPr>
            <w:tcW w:w="2417" w:type="dxa"/>
            <w:gridSpan w:val="4"/>
            <w:tcBorders>
              <w:top w:val="single" w:color="B4CCDA" w:sz="6" w:space="0"/>
              <w:left w:val="single" w:color="B4CCDA" w:sz="6" w:space="0"/>
              <w:bottom w:val="single" w:color="B4CCDA" w:sz="6" w:space="0"/>
              <w:right w:val="single" w:color="B4CCDA" w:sz="6" w:space="0"/>
            </w:tcBorders>
            <w:shd w:val="solid" w:color="EFF6F9"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9" w:type="dxa"/>
          <w:trHeight w:val="0" w:hRule="atLeast"/>
        </w:trPr>
        <w:tc>
          <w:tcPr>
            <w:tcW w:w="975" w:type="dxa"/>
            <w:gridSpan w:val="2"/>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jc w:val="center"/>
              <w:textAlignment w:val="top"/>
              <w:rPr>
                <w:rFonts w:hint="default" w:ascii="Arial"/>
                <w:b/>
                <w:snapToGrid/>
                <w:color w:val="323232"/>
                <w:sz w:val="18"/>
                <w:shd w:val="clear" w:color="auto" w:fill="FFFFFF"/>
              </w:rPr>
            </w:pPr>
            <w:r>
              <w:rPr>
                <w:rFonts w:hint="default" w:ascii="Arial"/>
                <w:b/>
                <w:snapToGrid/>
                <w:color w:val="323232"/>
                <w:sz w:val="18"/>
                <w:shd w:val="clear" w:color="auto" w:fill="FFFFFF"/>
              </w:rPr>
              <w:t>OS</w:t>
            </w:r>
          </w:p>
        </w:tc>
        <w:tc>
          <w:tcPr>
            <w:tcW w:w="4648" w:type="dxa"/>
            <w:gridSpan w:val="4"/>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Win2000 / XP (X86/X64) / 2003 (X86/X64) / Vista (X86)/ 2008 (X86) / Win7 (X86)</w:t>
            </w:r>
          </w:p>
        </w:tc>
        <w:tc>
          <w:tcPr>
            <w:tcW w:w="2417" w:type="dxa"/>
            <w:gridSpan w:val="4"/>
            <w:tcBorders>
              <w:top w:val="single" w:color="B4CCDA" w:sz="6" w:space="0"/>
              <w:left w:val="single" w:color="B4CCDA" w:sz="6" w:space="0"/>
              <w:bottom w:val="single" w:color="B4CCDA" w:sz="6" w:space="0"/>
              <w:right w:val="single" w:color="B4CCDA" w:sz="6" w:space="0"/>
            </w:tcBorders>
            <w:shd w:val="solid" w:color="FFFFFF" w:fill="auto"/>
            <w:tcMar>
              <w:left w:w="75" w:type="dxa"/>
            </w:tcMa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9" w:type="dxa"/>
          <w:trHeight w:val="0" w:hRule="atLeast"/>
        </w:trPr>
        <w:tc>
          <w:tcPr>
            <w:tcW w:w="975"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jc w:val="center"/>
              <w:textAlignment w:val="top"/>
              <w:rPr>
                <w:rFonts w:hint="default" w:ascii="Arial"/>
                <w:b/>
                <w:snapToGrid/>
                <w:color w:val="323232"/>
                <w:sz w:val="18"/>
                <w:shd w:val="clear" w:color="auto" w:fill="EFF6F9"/>
              </w:rPr>
            </w:pPr>
            <w:r>
              <w:rPr>
                <w:rFonts w:hint="default" w:ascii="Arial"/>
                <w:b/>
                <w:snapToGrid/>
                <w:color w:val="323232"/>
                <w:sz w:val="18"/>
                <w:shd w:val="clear" w:color="auto" w:fill="EFF6F9"/>
              </w:rPr>
              <w:t>CPU</w:t>
            </w:r>
          </w:p>
        </w:tc>
        <w:tc>
          <w:tcPr>
            <w:tcW w:w="2226"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CeleronⅡ433</w:t>
            </w:r>
          </w:p>
        </w:tc>
        <w:tc>
          <w:tcPr>
            <w:tcW w:w="2422"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Pentium 4以上</w:t>
            </w:r>
          </w:p>
        </w:tc>
        <w:tc>
          <w:tcPr>
            <w:tcW w:w="2417" w:type="dxa"/>
            <w:gridSpan w:val="4"/>
            <w:tcBorders>
              <w:top w:val="single" w:color="B4CCDA" w:sz="6" w:space="0"/>
              <w:left w:val="single" w:color="B4CCDA" w:sz="6" w:space="0"/>
              <w:bottom w:val="single" w:color="B4CCDA" w:sz="6" w:space="0"/>
              <w:right w:val="single" w:color="B4CCDA" w:sz="6" w:space="0"/>
            </w:tcBorders>
            <w:shd w:val="solid" w:color="EFF6F9" w:fill="auto"/>
            <w:tcMar>
              <w:left w:w="75" w:type="dxa"/>
            </w:tcMa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9" w:type="dxa"/>
          <w:trHeight w:val="0" w:hRule="atLeast"/>
        </w:trPr>
        <w:tc>
          <w:tcPr>
            <w:tcW w:w="975" w:type="dxa"/>
            <w:gridSpan w:val="2"/>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jc w:val="center"/>
              <w:textAlignment w:val="top"/>
              <w:rPr>
                <w:rFonts w:hint="default" w:ascii="Arial"/>
                <w:b/>
                <w:snapToGrid/>
                <w:color w:val="323232"/>
                <w:sz w:val="18"/>
                <w:shd w:val="clear" w:color="auto" w:fill="FFFFFF"/>
              </w:rPr>
            </w:pPr>
            <w:r>
              <w:rPr>
                <w:rFonts w:hint="default" w:ascii="Arial"/>
                <w:b/>
                <w:snapToGrid/>
                <w:color w:val="323232"/>
                <w:sz w:val="18"/>
                <w:shd w:val="clear" w:color="auto" w:fill="FFFFFF"/>
              </w:rPr>
              <w:t>内存</w:t>
            </w:r>
          </w:p>
        </w:tc>
        <w:tc>
          <w:tcPr>
            <w:tcW w:w="2226" w:type="dxa"/>
            <w:gridSpan w:val="2"/>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512MB</w:t>
            </w:r>
          </w:p>
        </w:tc>
        <w:tc>
          <w:tcPr>
            <w:tcW w:w="2422" w:type="dxa"/>
            <w:gridSpan w:val="2"/>
            <w:tcBorders>
              <w:top w:val="single" w:color="B4CCDA" w:sz="6" w:space="0"/>
              <w:left w:val="single" w:color="B4CCDA" w:sz="6" w:space="0"/>
              <w:bottom w:val="single" w:color="B4CCDA" w:sz="6" w:space="0"/>
              <w:right w:val="single" w:color="B4CCDA" w:sz="6" w:space="0"/>
            </w:tcBorders>
            <w:shd w:val="solid" w:color="FFFFFF" w:fill="auto"/>
            <w:tcMar>
              <w:left w:w="75" w:type="dxa"/>
            </w:tcMar>
          </w:tcPr>
          <w:p>
            <w:pPr>
              <w:shd w:val="solid" w:color="FFFFFF" w:fill="auto"/>
              <w:kinsoku/>
              <w:autoSpaceDE/>
              <w:autoSpaceDN w:val="0"/>
              <w:spacing w:line="300" w:lineRule="atLeast"/>
              <w:textAlignment w:val="top"/>
              <w:rPr>
                <w:rFonts w:hint="default" w:ascii="Arial"/>
                <w:snapToGrid/>
                <w:color w:val="323232"/>
                <w:sz w:val="18"/>
                <w:shd w:val="clear" w:color="auto" w:fill="FFFFFF"/>
              </w:rPr>
            </w:pPr>
            <w:r>
              <w:rPr>
                <w:rFonts w:hint="default" w:ascii="Arial"/>
                <w:snapToGrid/>
                <w:color w:val="323232"/>
                <w:sz w:val="18"/>
                <w:shd w:val="clear" w:color="auto" w:fill="FFFFFF"/>
              </w:rPr>
              <w:t>1GB以上</w:t>
            </w:r>
          </w:p>
        </w:tc>
        <w:tc>
          <w:tcPr>
            <w:tcW w:w="2417" w:type="dxa"/>
            <w:gridSpan w:val="4"/>
            <w:tcBorders>
              <w:top w:val="single" w:color="B4CCDA" w:sz="6" w:space="0"/>
              <w:left w:val="single" w:color="B4CCDA" w:sz="6" w:space="0"/>
              <w:bottom w:val="single" w:color="B4CCDA" w:sz="6" w:space="0"/>
              <w:right w:val="single" w:color="B4CCDA" w:sz="6" w:space="0"/>
            </w:tcBorders>
            <w:shd w:val="solid" w:color="FFFFFF" w:fill="auto"/>
            <w:tcMar>
              <w:left w:w="75" w:type="dxa"/>
            </w:tcMa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9" w:type="dxa"/>
          <w:trHeight w:val="0" w:hRule="atLeast"/>
        </w:trPr>
        <w:tc>
          <w:tcPr>
            <w:tcW w:w="975"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jc w:val="center"/>
              <w:textAlignment w:val="top"/>
              <w:rPr>
                <w:rFonts w:hint="default" w:ascii="Arial"/>
                <w:b/>
                <w:snapToGrid/>
                <w:color w:val="323232"/>
                <w:sz w:val="18"/>
                <w:shd w:val="clear" w:color="auto" w:fill="EFF6F9"/>
              </w:rPr>
            </w:pPr>
            <w:r>
              <w:rPr>
                <w:rFonts w:hint="default" w:ascii="Arial"/>
                <w:b/>
                <w:snapToGrid/>
                <w:color w:val="323232"/>
                <w:sz w:val="18"/>
                <w:shd w:val="clear" w:color="auto" w:fill="EFF6F9"/>
              </w:rPr>
              <w:t>硬盘</w:t>
            </w:r>
          </w:p>
        </w:tc>
        <w:tc>
          <w:tcPr>
            <w:tcW w:w="2226"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512MB</w:t>
            </w:r>
          </w:p>
        </w:tc>
        <w:tc>
          <w:tcPr>
            <w:tcW w:w="2422" w:type="dxa"/>
            <w:gridSpan w:val="2"/>
            <w:tcBorders>
              <w:top w:val="single" w:color="B4CCDA" w:sz="6" w:space="0"/>
              <w:left w:val="single" w:color="B4CCDA" w:sz="6" w:space="0"/>
              <w:bottom w:val="single" w:color="B4CCDA" w:sz="6" w:space="0"/>
              <w:right w:val="single" w:color="B4CCDA" w:sz="6" w:space="0"/>
            </w:tcBorders>
            <w:shd w:val="solid" w:color="EFF6F9" w:fill="auto"/>
            <w:tcMar>
              <w:left w:w="75" w:type="dxa"/>
            </w:tcMar>
          </w:tcPr>
          <w:p>
            <w:pPr>
              <w:shd w:val="solid" w:color="EFF6F9" w:fill="auto"/>
              <w:kinsoku/>
              <w:autoSpaceDE/>
              <w:autoSpaceDN w:val="0"/>
              <w:spacing w:line="300" w:lineRule="atLeast"/>
              <w:textAlignment w:val="top"/>
              <w:rPr>
                <w:rFonts w:hint="default" w:ascii="Arial"/>
                <w:snapToGrid/>
                <w:color w:val="323232"/>
                <w:sz w:val="18"/>
                <w:shd w:val="clear" w:color="auto" w:fill="EFF6F9"/>
              </w:rPr>
            </w:pPr>
            <w:r>
              <w:rPr>
                <w:rFonts w:hint="default" w:ascii="Arial"/>
                <w:snapToGrid/>
                <w:color w:val="323232"/>
                <w:sz w:val="18"/>
                <w:shd w:val="clear" w:color="auto" w:fill="EFF6F9"/>
              </w:rPr>
              <w:t>1GB以上</w:t>
            </w:r>
          </w:p>
        </w:tc>
        <w:tc>
          <w:tcPr>
            <w:tcW w:w="2417" w:type="dxa"/>
            <w:gridSpan w:val="4"/>
            <w:tcBorders>
              <w:top w:val="single" w:color="B4CCDA" w:sz="6" w:space="0"/>
              <w:left w:val="single" w:color="B4CCDA" w:sz="6" w:space="0"/>
              <w:bottom w:val="single" w:color="B4CCDA" w:sz="6" w:space="0"/>
              <w:right w:val="single" w:color="B4CCDA" w:sz="6" w:space="0"/>
            </w:tcBorders>
            <w:shd w:val="solid" w:color="EFF6F9" w:fill="auto"/>
            <w:tcMar>
              <w:left w:w="75" w:type="dxa"/>
            </w:tcMa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88" w:type="dxa"/>
            <w:vAlign w:val="center"/>
          </w:tcPr>
          <w:p>
            <w:pPr>
              <w:kinsoku/>
              <w:autoSpaceDE/>
              <w:autoSpaceDN w:val="0"/>
              <w:spacing w:line="300" w:lineRule="atLeast"/>
              <w:textAlignment w:val="auto"/>
              <w:rPr>
                <w:rFonts w:hint="default" w:ascii="Arial"/>
                <w:snapToGrid/>
                <w:color w:val="323232"/>
                <w:sz w:val="18"/>
              </w:rPr>
            </w:pPr>
            <w:r>
              <w:rPr>
                <w:rFonts w:hint="default" w:ascii="Arial"/>
                <w:snapToGrid/>
                <w:color w:val="323232"/>
                <w:sz w:val="18"/>
              </w:rPr>
              <w:t>注意：1.</w:t>
            </w:r>
          </w:p>
        </w:tc>
        <w:tc>
          <w:tcPr>
            <w:tcW w:w="5624" w:type="dxa"/>
            <w:gridSpan w:val="6"/>
            <w:vAlign w:val="center"/>
          </w:tcPr>
          <w:p>
            <w:pPr>
              <w:kinsoku/>
              <w:autoSpaceDE/>
              <w:autoSpaceDN w:val="0"/>
              <w:spacing w:line="300" w:lineRule="atLeast"/>
              <w:textAlignment w:val="auto"/>
              <w:rPr>
                <w:rFonts w:hint="default" w:ascii="Arial"/>
                <w:snapToGrid/>
                <w:color w:val="323232"/>
                <w:sz w:val="18"/>
              </w:rPr>
            </w:pPr>
            <w:r>
              <w:rPr>
                <w:rFonts w:hint="default" w:ascii="Arial"/>
                <w:snapToGrid/>
                <w:color w:val="323232"/>
                <w:sz w:val="18"/>
              </w:rPr>
              <w:t>客户端的某些功能在64位操作系统下不支持；</w:t>
            </w:r>
          </w:p>
        </w:tc>
        <w:tc>
          <w:tcPr>
            <w:tcW w:w="2417" w:type="dxa"/>
            <w:gridSpan w:val="4"/>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88" w:type="dxa"/>
          </w:tcPr>
          <w:p>
            <w:pPr>
              <w:kinsoku/>
              <w:autoSpaceDE/>
              <w:autoSpaceDN w:val="0"/>
              <w:spacing w:line="300" w:lineRule="atLeast"/>
              <w:jc w:val="right"/>
              <w:textAlignment w:val="top"/>
              <w:rPr>
                <w:rFonts w:hint="default" w:ascii="Arial"/>
                <w:snapToGrid/>
                <w:color w:val="323232"/>
                <w:sz w:val="18"/>
              </w:rPr>
            </w:pPr>
            <w:r>
              <w:rPr>
                <w:rFonts w:hint="default" w:ascii="Arial"/>
                <w:snapToGrid/>
                <w:color w:val="323232"/>
                <w:sz w:val="18"/>
              </w:rPr>
              <w:t>2.</w:t>
            </w:r>
          </w:p>
        </w:tc>
        <w:tc>
          <w:tcPr>
            <w:tcW w:w="5624" w:type="dxa"/>
            <w:gridSpan w:val="6"/>
            <w:vAlign w:val="center"/>
          </w:tcPr>
          <w:p>
            <w:pPr>
              <w:kinsoku/>
              <w:autoSpaceDE/>
              <w:autoSpaceDN w:val="0"/>
              <w:spacing w:line="300" w:lineRule="atLeast"/>
              <w:textAlignment w:val="auto"/>
              <w:rPr>
                <w:rFonts w:hint="default" w:ascii="Arial"/>
                <w:snapToGrid/>
                <w:color w:val="323232"/>
                <w:sz w:val="18"/>
              </w:rPr>
            </w:pPr>
            <w:r>
              <w:rPr>
                <w:rFonts w:hint="default" w:ascii="Arial"/>
                <w:snapToGrid/>
                <w:color w:val="323232"/>
                <w:sz w:val="18"/>
              </w:rPr>
              <w:t>如果服务器模块安装在Windows 2000 SP4系统上，请先确认安装“Windows 2000 SP4更新汇总升级补丁（KB891861）”。</w:t>
            </w:r>
          </w:p>
        </w:tc>
        <w:tc>
          <w:tcPr>
            <w:tcW w:w="2417" w:type="dxa"/>
            <w:gridSpan w:val="4"/>
            <w:vAlign w:val="center"/>
          </w:tcPr>
          <w:p/>
        </w:tc>
      </w:tr>
    </w:tbl>
    <w:p>
      <w:pPr>
        <w:numPr>
          <w:ilvl w:val="0"/>
          <w:numId w:val="20"/>
        </w:numPr>
        <w:tabs>
          <w:tab w:val="left" w:pos="3780"/>
        </w:tabs>
        <w:rPr>
          <w:rFonts w:hint="eastAsia"/>
        </w:rPr>
      </w:pPr>
      <w:r>
        <w:rPr>
          <w:rFonts w:hint="eastAsia"/>
          <w:b/>
          <w:bCs/>
        </w:rPr>
        <w:t>新闻动态，</w:t>
      </w:r>
      <w:r>
        <w:rPr>
          <w:rFonts w:hint="eastAsia"/>
          <w:lang w:eastAsia="zh-CN"/>
        </w:rPr>
        <w:t>把公司签约的新闻等加上去</w:t>
      </w:r>
    </w:p>
    <w:p>
      <w:pPr>
        <w:numPr>
          <w:ilvl w:val="0"/>
          <w:numId w:val="20"/>
        </w:numPr>
        <w:tabs>
          <w:tab w:val="left" w:pos="3780"/>
        </w:tabs>
        <w:rPr>
          <w:rFonts w:hint="eastAsia"/>
        </w:rPr>
      </w:pPr>
      <w:r>
        <w:rPr>
          <w:rFonts w:hint="eastAsia"/>
          <w:b/>
          <w:color w:val="000000"/>
          <w:szCs w:val="21"/>
        </w:rPr>
        <w:t xml:space="preserve">人才招聘 </w:t>
      </w:r>
    </w:p>
    <w:p>
      <w:pPr>
        <w:numPr>
          <w:ilvl w:val="0"/>
          <w:numId w:val="20"/>
        </w:numPr>
        <w:tabs>
          <w:tab w:val="left" w:pos="3780"/>
        </w:tabs>
        <w:rPr>
          <w:rFonts w:hint="eastAsia"/>
          <w:b/>
          <w:color w:val="000000"/>
          <w:szCs w:val="21"/>
          <w:lang w:val="en-US" w:eastAsia="zh-CN"/>
        </w:rPr>
      </w:pPr>
      <w:r>
        <w:rPr>
          <w:rFonts w:hint="eastAsia"/>
          <w:b/>
          <w:color w:val="000000"/>
          <w:szCs w:val="21"/>
          <w:lang w:val="en-US" w:eastAsia="zh-CN"/>
        </w:rPr>
        <w:t>解决方案：</w:t>
      </w:r>
    </w:p>
    <w:p>
      <w:pPr>
        <w:numPr>
          <w:ilvl w:val="0"/>
          <w:numId w:val="0"/>
        </w:numPr>
        <w:tabs>
          <w:tab w:val="left" w:pos="3780"/>
        </w:tabs>
        <w:rPr>
          <w:rFonts w:hint="eastAsia"/>
          <w:b/>
          <w:color w:val="000000"/>
          <w:szCs w:val="21"/>
          <w:lang w:val="en-US" w:eastAsia="zh-CN"/>
        </w:rPr>
      </w:pPr>
      <w:r>
        <w:rPr>
          <w:rFonts w:hint="eastAsia"/>
          <w:b/>
          <w:color w:val="000000"/>
          <w:szCs w:val="21"/>
          <w:lang w:val="en-US" w:eastAsia="zh-CN"/>
        </w:rPr>
        <w:t>房地产解决方案</w:t>
      </w:r>
    </w:p>
    <w:p>
      <w:pPr>
        <w:pBdr>
          <w:top w:val="single" w:color="CCCCCC" w:sz="6" w:space="0"/>
          <w:bottom w:val="single" w:color="CCCCCC" w:sz="6" w:space="0"/>
        </w:pBdr>
        <w:kinsoku/>
        <w:autoSpaceDE/>
        <w:autoSpaceDN w:val="0"/>
        <w:spacing w:line="450" w:lineRule="atLeast"/>
        <w:rPr>
          <w:rFonts w:hint="default" w:ascii="Arial"/>
          <w:b/>
          <w:snapToGrid/>
          <w:color w:val="00A0E8"/>
          <w:sz w:val="21"/>
        </w:rPr>
      </w:pPr>
      <w:r>
        <w:rPr>
          <w:rFonts w:hint="default" w:ascii="Arial"/>
          <w:b/>
          <w:snapToGrid/>
          <w:color w:val="00A0E8"/>
          <w:sz w:val="21"/>
        </w:rPr>
        <w:t>蓝凌地产行业“管理+IT”的整体解决方案</w:t>
      </w:r>
    </w:p>
    <w:p>
      <w:pPr>
        <w:pBdr>
          <w:top w:val="single" w:color="CCCCCC" w:sz="6" w:space="0"/>
          <w:bottom w:val="single" w:color="CCCCCC" w:sz="6" w:space="0"/>
        </w:pBdr>
        <w:kinsoku/>
        <w:autoSpaceDE/>
        <w:autoSpaceDN w:val="0"/>
        <w:spacing w:line="450" w:lineRule="atLeast"/>
        <w:rPr>
          <w:rFonts w:hint="default" w:ascii="Arial"/>
          <w:b/>
          <w:snapToGrid/>
          <w:color w:val="00A0E8"/>
          <w:sz w:val="21"/>
        </w:rPr>
      </w:pPr>
      <w:r>
        <w:rPr>
          <w:rFonts w:hint="default" w:ascii="Arial"/>
          <w:b/>
          <w:snapToGrid/>
          <w:color w:val="00A0E8"/>
          <w:sz w:val="21"/>
        </w:rPr>
        <w:t>房地产解决方案</w:t>
      </w:r>
    </w:p>
    <w:p>
      <w:pPr>
        <w:kinsoku/>
        <w:autoSpaceDE/>
        <w:autoSpaceDN w:val="0"/>
        <w:rPr>
          <w:rFonts w:hint="default" w:ascii="Arial"/>
          <w:snapToGrid/>
          <w:color w:val="666666"/>
          <w:sz w:val="18"/>
        </w:rPr>
      </w:pPr>
      <w:r>
        <w:fldChar w:fldCharType="begin"/>
      </w:r>
      <w:r>
        <w:instrText xml:space="preserve"> HYPERLINK </w:instrText>
      </w:r>
      <w:r>
        <w:fldChar w:fldCharType="separate"/>
      </w:r>
      <w:r>
        <w:rPr>
          <w:rFonts w:hint="default" w:ascii="Arial"/>
          <w:b/>
          <w:snapToGrid/>
          <w:color w:val="EC581A"/>
          <w:sz w:val="18"/>
          <w:u w:val="none"/>
        </w:rPr>
        <w:t>协同办公平台</w:t>
      </w:r>
      <w:r>
        <w:rPr>
          <w:rFonts w:hint="default" w:ascii="Arial"/>
          <w:b/>
          <w:snapToGrid/>
          <w:color w:val="EC581A"/>
          <w:sz w:val="18"/>
          <w:u w:val="none"/>
        </w:rPr>
        <w:fldChar w:fldCharType="end"/>
      </w:r>
    </w:p>
    <w:p>
      <w:pPr>
        <w:tabs>
          <w:tab w:val="left" w:pos="720"/>
        </w:tabs>
        <w:kinsoku/>
        <w:autoSpaceDE/>
        <w:autoSpaceDN w:val="0"/>
        <w:spacing w:before="75" w:beforeLines="0" w:line="300" w:lineRule="atLeast"/>
        <w:ind w:left="360"/>
        <w:rPr>
          <w:rFonts w:hint="default" w:ascii="Arial"/>
          <w:snapToGrid/>
          <w:color w:val="575757"/>
          <w:sz w:val="18"/>
        </w:rPr>
      </w:pPr>
      <w:r>
        <w:rPr>
          <w:rFonts w:hint="default" w:ascii="Arial"/>
          <w:snapToGrid/>
          <w:color w:val="575757"/>
          <w:sz w:val="18"/>
        </w:rPr>
        <w:t>帮助客户建立基于门户的协同办公平台，为内部员工、分支机构、管理人员提供个性化的协同门户、统一的办公协作和信息发布管理平台......</w:t>
      </w:r>
    </w:p>
    <w:p>
      <w:pPr>
        <w:kinsoku/>
        <w:autoSpaceDE/>
        <w:autoSpaceDN w:val="0"/>
        <w:rPr>
          <w:rFonts w:hint="default" w:ascii="Arial"/>
          <w:snapToGrid/>
          <w:color w:val="666666"/>
          <w:sz w:val="18"/>
        </w:rPr>
      </w:pPr>
      <w:r>
        <w:fldChar w:fldCharType="begin"/>
      </w:r>
      <w:r>
        <w:instrText xml:space="preserve"> HYPERLINK </w:instrText>
      </w:r>
      <w:r>
        <w:fldChar w:fldCharType="separate"/>
      </w:r>
      <w:r>
        <w:rPr>
          <w:rFonts w:hint="default" w:ascii="Arial"/>
          <w:b/>
          <w:snapToGrid/>
          <w:color w:val="EC581A"/>
          <w:sz w:val="18"/>
          <w:u w:val="none"/>
        </w:rPr>
        <w:t>组织级知识共享和学习</w:t>
      </w:r>
      <w:r>
        <w:rPr>
          <w:rFonts w:hint="default" w:ascii="Arial"/>
          <w:b/>
          <w:snapToGrid/>
          <w:color w:val="EC581A"/>
          <w:sz w:val="18"/>
          <w:u w:val="none"/>
        </w:rPr>
        <w:fldChar w:fldCharType="end"/>
      </w:r>
    </w:p>
    <w:p>
      <w:pPr>
        <w:tabs>
          <w:tab w:val="left" w:pos="720"/>
        </w:tabs>
        <w:kinsoku/>
        <w:autoSpaceDE/>
        <w:autoSpaceDN w:val="0"/>
        <w:spacing w:before="75" w:beforeLines="0" w:line="300" w:lineRule="atLeast"/>
        <w:ind w:left="360"/>
        <w:rPr>
          <w:rFonts w:hint="default" w:ascii="Arial"/>
          <w:snapToGrid/>
          <w:color w:val="575757"/>
          <w:sz w:val="18"/>
        </w:rPr>
      </w:pPr>
      <w:r>
        <w:rPr>
          <w:rFonts w:hint="default" w:ascii="Arial"/>
          <w:snapToGrid/>
          <w:color w:val="575757"/>
          <w:sz w:val="18"/>
        </w:rPr>
        <w:t>对知识按照一定的脉络进行梳理、分类、聚类处理，帮助使用者快速、准确找到所需知识，是知识资源的导航工具......</w:t>
      </w:r>
    </w:p>
    <w:p>
      <w:pPr>
        <w:kinsoku/>
        <w:autoSpaceDE/>
        <w:autoSpaceDN w:val="0"/>
        <w:rPr>
          <w:rFonts w:hint="default" w:ascii="Arial"/>
          <w:snapToGrid/>
          <w:color w:val="666666"/>
          <w:sz w:val="18"/>
        </w:rPr>
      </w:pPr>
      <w:r>
        <w:fldChar w:fldCharType="begin"/>
      </w:r>
      <w:r>
        <w:instrText xml:space="preserve"> HYPERLINK </w:instrText>
      </w:r>
      <w:r>
        <w:fldChar w:fldCharType="separate"/>
      </w:r>
      <w:r>
        <w:rPr>
          <w:rFonts w:hint="default" w:ascii="Arial"/>
          <w:b/>
          <w:snapToGrid/>
          <w:color w:val="EC581A"/>
          <w:sz w:val="18"/>
          <w:u w:val="none"/>
        </w:rPr>
        <w:t>项目阶段成果管理</w:t>
      </w:r>
      <w:r>
        <w:rPr>
          <w:rFonts w:hint="default" w:ascii="Arial"/>
          <w:b/>
          <w:snapToGrid/>
          <w:color w:val="EC581A"/>
          <w:sz w:val="18"/>
          <w:u w:val="none"/>
        </w:rPr>
        <w:fldChar w:fldCharType="end"/>
      </w:r>
    </w:p>
    <w:p>
      <w:pPr>
        <w:tabs>
          <w:tab w:val="left" w:pos="720"/>
        </w:tabs>
        <w:kinsoku/>
        <w:autoSpaceDE/>
        <w:autoSpaceDN w:val="0"/>
        <w:spacing w:before="75" w:beforeLines="0" w:line="300" w:lineRule="atLeast"/>
        <w:ind w:left="360"/>
        <w:rPr>
          <w:rFonts w:hint="default" w:ascii="Arial"/>
          <w:snapToGrid/>
          <w:color w:val="575757"/>
          <w:sz w:val="18"/>
        </w:rPr>
      </w:pPr>
      <w:r>
        <w:rPr>
          <w:rFonts w:hint="default" w:ascii="Arial"/>
          <w:snapToGrid/>
          <w:color w:val="575757"/>
          <w:sz w:val="18"/>
        </w:rPr>
        <w:t>以项目开发流程为导向，系统地沉淀项目基础信息，以及项目开发各阶段关键节点产出的阶段性成果......</w:t>
      </w:r>
    </w:p>
    <w:p>
      <w:pPr>
        <w:kinsoku/>
        <w:autoSpaceDE/>
        <w:autoSpaceDN w:val="0"/>
        <w:rPr>
          <w:rFonts w:hint="default" w:ascii="Arial"/>
          <w:snapToGrid/>
          <w:color w:val="666666"/>
          <w:sz w:val="18"/>
        </w:rPr>
      </w:pPr>
      <w:r>
        <w:fldChar w:fldCharType="begin"/>
      </w:r>
      <w:r>
        <w:instrText xml:space="preserve"> HYPERLINK </w:instrText>
      </w:r>
      <w:r>
        <w:fldChar w:fldCharType="separate"/>
      </w:r>
      <w:r>
        <w:rPr>
          <w:rFonts w:hint="default" w:ascii="Arial"/>
          <w:b/>
          <w:snapToGrid/>
          <w:color w:val="EC581A"/>
          <w:sz w:val="18"/>
          <w:u w:val="none"/>
        </w:rPr>
        <w:t>战略管理平台</w:t>
      </w:r>
      <w:r>
        <w:rPr>
          <w:rFonts w:hint="default" w:ascii="Arial"/>
          <w:b/>
          <w:snapToGrid/>
          <w:color w:val="EC581A"/>
          <w:sz w:val="18"/>
          <w:u w:val="none"/>
        </w:rPr>
        <w:fldChar w:fldCharType="end"/>
      </w:r>
    </w:p>
    <w:p>
      <w:pPr>
        <w:tabs>
          <w:tab w:val="left" w:pos="720"/>
        </w:tabs>
        <w:kinsoku/>
        <w:autoSpaceDE/>
        <w:autoSpaceDN w:val="0"/>
        <w:spacing w:before="75" w:beforeLines="0" w:line="300" w:lineRule="atLeast"/>
        <w:ind w:left="360"/>
        <w:rPr>
          <w:rFonts w:hint="default" w:ascii="Arial"/>
          <w:snapToGrid/>
          <w:color w:val="575757"/>
          <w:sz w:val="18"/>
        </w:rPr>
      </w:pPr>
      <w:r>
        <w:rPr>
          <w:rFonts w:hint="default" w:ascii="Arial"/>
          <w:snapToGrid/>
          <w:color w:val="575757"/>
          <w:sz w:val="18"/>
        </w:rPr>
        <w:t>面向企业核心决策和管理层，建立个性化的高管战略管控平台，是高管的工作平台，并为高管的决策提供信息和数据支持......</w:t>
      </w:r>
    </w:p>
    <w:p>
      <w:pPr>
        <w:kinsoku/>
        <w:autoSpaceDE/>
        <w:autoSpaceDN w:val="0"/>
        <w:rPr>
          <w:rFonts w:hint="default" w:ascii="Arial"/>
          <w:snapToGrid/>
          <w:color w:val="666666"/>
          <w:sz w:val="18"/>
        </w:rPr>
      </w:pPr>
      <w:r>
        <w:fldChar w:fldCharType="begin"/>
      </w:r>
      <w:r>
        <w:instrText xml:space="preserve"> HYPERLINK </w:instrText>
      </w:r>
      <w:r>
        <w:fldChar w:fldCharType="separate"/>
      </w:r>
      <w:r>
        <w:rPr>
          <w:rFonts w:hint="default" w:ascii="Arial"/>
          <w:b/>
          <w:snapToGrid/>
          <w:color w:val="EC581A"/>
          <w:sz w:val="18"/>
          <w:u w:val="none"/>
        </w:rPr>
        <w:t>门户规划和整合</w:t>
      </w:r>
      <w:r>
        <w:rPr>
          <w:rFonts w:hint="default" w:ascii="Arial"/>
          <w:b/>
          <w:snapToGrid/>
          <w:color w:val="EC581A"/>
          <w:sz w:val="18"/>
          <w:u w:val="none"/>
        </w:rPr>
        <w:fldChar w:fldCharType="end"/>
      </w:r>
    </w:p>
    <w:p>
      <w:pPr>
        <w:tabs>
          <w:tab w:val="left" w:pos="720"/>
        </w:tabs>
        <w:kinsoku/>
        <w:autoSpaceDE/>
        <w:autoSpaceDN w:val="0"/>
        <w:spacing w:before="75" w:beforeLines="0" w:line="300" w:lineRule="atLeast"/>
        <w:ind w:left="360"/>
        <w:rPr>
          <w:rFonts w:hint="default" w:ascii="Arial"/>
          <w:snapToGrid/>
          <w:color w:val="575757"/>
          <w:sz w:val="18"/>
        </w:rPr>
      </w:pPr>
      <w:r>
        <w:rPr>
          <w:rFonts w:hint="default" w:ascii="Arial"/>
          <w:snapToGrid/>
          <w:color w:val="575757"/>
          <w:sz w:val="18"/>
        </w:rPr>
        <w:t>房地产企业发展到一定阶段，可能会出现很多业务系统或管理系统，形成一个个信息孤岛；员工工作要登陆多个系统......</w:t>
      </w:r>
    </w:p>
    <w:p>
      <w:pPr>
        <w:kinsoku/>
        <w:autoSpaceDE/>
        <w:autoSpaceDN w:val="0"/>
        <w:rPr>
          <w:rFonts w:hint="default" w:ascii="Arial"/>
          <w:snapToGrid/>
          <w:color w:val="666666"/>
          <w:sz w:val="18"/>
        </w:rPr>
      </w:pPr>
      <w:r>
        <w:fldChar w:fldCharType="begin"/>
      </w:r>
      <w:r>
        <w:instrText xml:space="preserve"> HYPERLINK </w:instrText>
      </w:r>
      <w:r>
        <w:fldChar w:fldCharType="separate"/>
      </w:r>
      <w:r>
        <w:rPr>
          <w:rFonts w:hint="default" w:ascii="Arial"/>
          <w:b/>
          <w:snapToGrid/>
          <w:color w:val="EC581A"/>
          <w:sz w:val="18"/>
          <w:u w:val="none"/>
        </w:rPr>
        <w:t>知识化咨询方案</w:t>
      </w:r>
      <w:r>
        <w:rPr>
          <w:rFonts w:hint="default" w:ascii="Arial"/>
          <w:b/>
          <w:snapToGrid/>
          <w:color w:val="EC581A"/>
          <w:sz w:val="18"/>
          <w:u w:val="none"/>
        </w:rPr>
        <w:fldChar w:fldCharType="end"/>
      </w:r>
    </w:p>
    <w:p>
      <w:pPr>
        <w:tabs>
          <w:tab w:val="left" w:pos="720"/>
        </w:tabs>
        <w:kinsoku/>
        <w:autoSpaceDE/>
        <w:autoSpaceDN w:val="0"/>
        <w:spacing w:before="75" w:beforeLines="0" w:line="300" w:lineRule="atLeast"/>
        <w:ind w:left="360"/>
        <w:rPr>
          <w:rFonts w:hint="default" w:ascii="Arial"/>
          <w:snapToGrid/>
          <w:color w:val="575757"/>
          <w:sz w:val="18"/>
        </w:rPr>
      </w:pPr>
      <w:r>
        <w:rPr>
          <w:rFonts w:hint="default" w:ascii="Arial"/>
          <w:snapToGrid/>
          <w:color w:val="575757"/>
          <w:sz w:val="18"/>
        </w:rPr>
        <w:t>蓝凌的咨询服务贯穿整个管理支撑平台。对于每一个模块均有专业的规划、梳理和实施咨询服务。真正做到咨询成果落地到IT平台......</w:t>
      </w:r>
    </w:p>
    <w:p>
      <w:pPr>
        <w:pBdr>
          <w:top w:val="single" w:color="CCCCCC" w:sz="6" w:space="0"/>
          <w:bottom w:val="single" w:color="CCCCCC" w:sz="6" w:space="0"/>
        </w:pBdr>
        <w:kinsoku/>
        <w:autoSpaceDE/>
        <w:autoSpaceDN w:val="0"/>
        <w:spacing w:line="450" w:lineRule="atLeast"/>
        <w:rPr>
          <w:rFonts w:hint="eastAsia" w:ascii="Arial"/>
          <w:b/>
          <w:snapToGrid/>
          <w:color w:val="00A0E8"/>
          <w:sz w:val="21"/>
        </w:rPr>
      </w:pPr>
      <w:r>
        <w:rPr>
          <w:rFonts w:hint="default" w:ascii="Arial"/>
          <w:b/>
          <w:snapToGrid/>
          <w:color w:val="00A0E8"/>
          <w:sz w:val="21"/>
        </w:rPr>
        <w:t>典型客户</w:t>
      </w:r>
      <w:bookmarkStart w:id="0" w:name="_GoBack"/>
      <w:bookmarkEnd w:id="0"/>
    </w:p>
    <w:sectPr>
      <w:pgSz w:w="11906" w:h="16838"/>
      <w:pgMar w:top="1474" w:right="1474" w:bottom="1474" w:left="1474"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00000003"/>
    <w:multiLevelType w:val="multilevel"/>
    <w:tmpl w:val="00000003"/>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0000005"/>
    <w:multiLevelType w:val="singleLevel"/>
    <w:tmpl w:val="00000005"/>
    <w:lvl w:ilvl="0" w:tentative="0">
      <w:start w:val="4"/>
      <w:numFmt w:val="decimalFullWidth"/>
      <w:suff w:val="nothing"/>
      <w:lvlText w:val="%1."/>
      <w:lvlJc w:val="left"/>
    </w:lvl>
  </w:abstractNum>
  <w:abstractNum w:abstractNumId="3">
    <w:nsid w:val="00000007"/>
    <w:multiLevelType w:val="multilevel"/>
    <w:tmpl w:val="00000007"/>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0000008"/>
    <w:multiLevelType w:val="multilevel"/>
    <w:tmpl w:val="00000008"/>
    <w:lvl w:ilvl="0" w:tentative="0">
      <w:start w:val="1"/>
      <w:numFmt w:val="bullet"/>
      <w:lvlText w:val=""/>
      <w:lvlJc w:val="left"/>
      <w:pPr>
        <w:tabs>
          <w:tab w:val="left" w:pos="720"/>
        </w:tabs>
        <w:ind w:left="360" w:firstLine="0"/>
      </w:pPr>
      <w:rPr>
        <w:rFonts w:hint="default" w:ascii="Symbol" w:hAnsi="Symbol"/>
        <w:snapToGrid/>
        <w:color w:val="666666"/>
        <w:sz w:val="18"/>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000000C"/>
    <w:multiLevelType w:val="multilevel"/>
    <w:tmpl w:val="0000000C"/>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0000000D"/>
    <w:multiLevelType w:val="multilevel"/>
    <w:tmpl w:val="0000000D"/>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0000000F"/>
    <w:multiLevelType w:val="multilevel"/>
    <w:tmpl w:val="0000000F"/>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00000012"/>
    <w:multiLevelType w:val="multilevel"/>
    <w:tmpl w:val="00000012"/>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00000013"/>
    <w:multiLevelType w:val="multilevel"/>
    <w:tmpl w:val="00000013"/>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00000014"/>
    <w:multiLevelType w:val="multilevel"/>
    <w:tmpl w:val="00000014"/>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00000015"/>
    <w:multiLevelType w:val="multilevel"/>
    <w:tmpl w:val="00000015"/>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2">
    <w:nsid w:val="00000016"/>
    <w:multiLevelType w:val="multilevel"/>
    <w:tmpl w:val="00000016"/>
    <w:lvl w:ilvl="0" w:tentative="0">
      <w:start w:val="1"/>
      <w:numFmt w:val="bullet"/>
      <w:lvlText w:val=""/>
      <w:lvlJc w:val="left"/>
      <w:pPr>
        <w:tabs>
          <w:tab w:val="left" w:pos="720"/>
        </w:tabs>
        <w:ind w:left="360" w:firstLine="0"/>
      </w:pPr>
      <w:rPr>
        <w:rFonts w:hint="default" w:ascii="Symbol" w:hAnsi="Symbol"/>
        <w:snapToGrid/>
        <w:color w:val="666666"/>
        <w:sz w:val="18"/>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00000018"/>
    <w:multiLevelType w:val="multilevel"/>
    <w:tmpl w:val="00000018"/>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4">
    <w:nsid w:val="0000001A"/>
    <w:multiLevelType w:val="multilevel"/>
    <w:tmpl w:val="0000001A"/>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5">
    <w:nsid w:val="0000001B"/>
    <w:multiLevelType w:val="multilevel"/>
    <w:tmpl w:val="0000001B"/>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6">
    <w:nsid w:val="0000001C"/>
    <w:multiLevelType w:val="multilevel"/>
    <w:tmpl w:val="0000001C"/>
    <w:lvl w:ilvl="0" w:tentative="0">
      <w:start w:val="1"/>
      <w:numFmt w:val="decimal"/>
      <w:lvlText w:val="%1"/>
      <w:lvlJc w:val="left"/>
      <w:pPr>
        <w:tabs>
          <w:tab w:val="left" w:pos="720"/>
        </w:tabs>
        <w:ind w:left="360" w:firstLine="0"/>
      </w:pPr>
      <w:rPr>
        <w:rFonts w:hint="default" w:ascii="Symbol" w:hAnsi="Symbol"/>
        <w:snapToGrid/>
        <w:color w:val="666666"/>
        <w:sz w:val="18"/>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7">
    <w:nsid w:val="0000001E"/>
    <w:multiLevelType w:val="multilevel"/>
    <w:tmpl w:val="0000001E"/>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8">
    <w:nsid w:val="00000020"/>
    <w:multiLevelType w:val="multilevel"/>
    <w:tmpl w:val="00000020"/>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9">
    <w:nsid w:val="00000021"/>
    <w:multiLevelType w:val="multilevel"/>
    <w:tmpl w:val="00000021"/>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4"/>
  </w:num>
  <w:num w:numId="2">
    <w:abstractNumId w:val="16"/>
  </w:num>
  <w:num w:numId="3">
    <w:abstractNumId w:val="12"/>
  </w:num>
  <w:num w:numId="4">
    <w:abstractNumId w:val="10"/>
  </w:num>
  <w:num w:numId="5">
    <w:abstractNumId w:val="14"/>
  </w:num>
  <w:num w:numId="6">
    <w:abstractNumId w:val="18"/>
  </w:num>
  <w:num w:numId="7">
    <w:abstractNumId w:val="11"/>
  </w:num>
  <w:num w:numId="8">
    <w:abstractNumId w:val="6"/>
  </w:num>
  <w:num w:numId="9">
    <w:abstractNumId w:val="0"/>
  </w:num>
  <w:num w:numId="10">
    <w:abstractNumId w:val="15"/>
  </w:num>
  <w:num w:numId="11">
    <w:abstractNumId w:val="8"/>
  </w:num>
  <w:num w:numId="12">
    <w:abstractNumId w:val="19"/>
  </w:num>
  <w:num w:numId="13">
    <w:abstractNumId w:val="13"/>
  </w:num>
  <w:num w:numId="14">
    <w:abstractNumId w:val="3"/>
  </w:num>
  <w:num w:numId="15">
    <w:abstractNumId w:val="17"/>
  </w:num>
  <w:num w:numId="16">
    <w:abstractNumId w:val="9"/>
  </w:num>
  <w:num w:numId="17">
    <w:abstractNumId w:val="5"/>
  </w:num>
  <w:num w:numId="18">
    <w:abstractNumId w:val="1"/>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3A5440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6"/>
      <w:lang w:val="en-US" w:eastAsia="zh-CN" w:bidi="ar-SA"/>
    </w:rPr>
  </w:style>
  <w:style w:type="character" w:default="1" w:styleId="5">
    <w:name w:val="Default Paragraph Fon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http://www.landray.com.cn/Soft/image/eis2.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B\Downloads\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Pages>
  <Words>149</Words>
  <Characters>852</Characters>
  <Lines>7</Lines>
  <Paragraphs>1</Paragraphs>
  <TotalTime>3</TotalTime>
  <ScaleCrop>false</ScaleCrop>
  <LinksUpToDate>false</LinksUpToDate>
  <CharactersWithSpaces>1000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2011-11-25T01:49:00Z</dcterms:created>
  <dc:creator>XXB</dc:creator>
  <cp:lastModifiedBy>山下梅子酒</cp:lastModifiedBy>
  <cp:lastPrinted>2411-12-30T00:00:00Z</cp:lastPrinted>
  <dcterms:modified xsi:type="dcterms:W3CDTF">2021-11-15T11:43:00Z</dcterms:modified>
  <dc:title>公司网站建设方案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2AFF4B4AF69E44AA903A3507D224FDF4</vt:lpwstr>
  </property>
</Properties>
</file>